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EEB8" w14:textId="77777777" w:rsidR="005D79F7" w:rsidRPr="00FA7341" w:rsidRDefault="005D79F7" w:rsidP="002871B1">
      <w:pPr>
        <w:suppressAutoHyphens/>
        <w:spacing w:after="0" w:line="240" w:lineRule="auto"/>
        <w:ind w:left="708" w:hanging="708"/>
        <w:rPr>
          <w:rFonts w:ascii="Century Gothic" w:eastAsia="Times New Roman" w:hAnsi="Century Gothic" w:cs="Arial"/>
          <w:kern w:val="0"/>
          <w:lang w:eastAsia="ar-SA"/>
        </w:rPr>
      </w:pPr>
    </w:p>
    <w:p w14:paraId="0D98F26C" w14:textId="77777777" w:rsidR="00EC0CD5" w:rsidRPr="00FA7341" w:rsidRDefault="00EC0CD5" w:rsidP="007369E7">
      <w:pPr>
        <w:suppressAutoHyphens/>
        <w:spacing w:after="0" w:line="240" w:lineRule="auto"/>
        <w:rPr>
          <w:rFonts w:ascii="Century Gothic" w:eastAsia="Times New Roman" w:hAnsi="Century Gothic" w:cs="Arial"/>
          <w:kern w:val="0"/>
          <w:lang w:eastAsia="ar-SA"/>
        </w:rPr>
      </w:pPr>
    </w:p>
    <w:p w14:paraId="3F98CA17" w14:textId="77777777" w:rsidR="005D79F7" w:rsidRPr="00FA7341" w:rsidRDefault="005D79F7" w:rsidP="007369E7">
      <w:pPr>
        <w:spacing w:after="0" w:line="240" w:lineRule="auto"/>
        <w:jc w:val="center"/>
        <w:rPr>
          <w:rFonts w:ascii="Century Gothic" w:hAnsi="Century Gothic" w:cs="Arial"/>
          <w:b/>
          <w:bCs/>
        </w:rPr>
      </w:pPr>
      <w:r w:rsidRPr="00FA7341">
        <w:rPr>
          <w:rFonts w:ascii="Century Gothic" w:hAnsi="Century Gothic" w:cs="Arial"/>
          <w:b/>
          <w:bCs/>
        </w:rPr>
        <w:t>ANÁLISIS DEL SECTOR</w:t>
      </w:r>
    </w:p>
    <w:p w14:paraId="638D9850" w14:textId="77777777" w:rsidR="005D79F7" w:rsidRPr="00FA7341" w:rsidRDefault="005D79F7" w:rsidP="007369E7">
      <w:pPr>
        <w:spacing w:after="0" w:line="240" w:lineRule="auto"/>
        <w:jc w:val="center"/>
        <w:rPr>
          <w:rFonts w:ascii="Century Gothic" w:hAnsi="Century Gothic" w:cs="Arial"/>
          <w:b/>
          <w:bCs/>
        </w:rPr>
      </w:pPr>
    </w:p>
    <w:p w14:paraId="4A192B99" w14:textId="77777777" w:rsidR="005D79F7" w:rsidRPr="00FA7341" w:rsidRDefault="005D79F7" w:rsidP="007369E7">
      <w:pPr>
        <w:spacing w:after="0" w:line="240" w:lineRule="auto"/>
        <w:jc w:val="center"/>
        <w:rPr>
          <w:rFonts w:ascii="Century Gothic" w:hAnsi="Century Gothic" w:cs="Arial"/>
          <w:b/>
          <w:bCs/>
        </w:rPr>
      </w:pPr>
    </w:p>
    <w:p w14:paraId="42AA740F" w14:textId="77777777" w:rsidR="005D79F7" w:rsidRPr="00FA7341" w:rsidRDefault="005D79F7" w:rsidP="007369E7">
      <w:pPr>
        <w:spacing w:after="0" w:line="240" w:lineRule="auto"/>
        <w:jc w:val="center"/>
        <w:rPr>
          <w:rFonts w:ascii="Century Gothic" w:hAnsi="Century Gothic" w:cs="Arial"/>
          <w:b/>
          <w:bCs/>
        </w:rPr>
      </w:pPr>
    </w:p>
    <w:p w14:paraId="67DFFBC5" w14:textId="77777777" w:rsidR="005D79F7" w:rsidRPr="00FA7341" w:rsidRDefault="005D79F7" w:rsidP="007369E7">
      <w:pPr>
        <w:spacing w:after="0" w:line="240" w:lineRule="auto"/>
        <w:jc w:val="center"/>
        <w:rPr>
          <w:rFonts w:ascii="Century Gothic" w:hAnsi="Century Gothic" w:cs="Arial"/>
          <w:b/>
          <w:bCs/>
        </w:rPr>
      </w:pPr>
    </w:p>
    <w:p w14:paraId="16CAA09E" w14:textId="77777777" w:rsidR="005D79F7" w:rsidRPr="00FA7341" w:rsidRDefault="005D79F7" w:rsidP="007369E7">
      <w:pPr>
        <w:spacing w:after="0" w:line="240" w:lineRule="auto"/>
        <w:jc w:val="center"/>
        <w:rPr>
          <w:rFonts w:ascii="Century Gothic" w:hAnsi="Century Gothic" w:cs="Arial"/>
          <w:b/>
          <w:bCs/>
        </w:rPr>
      </w:pPr>
    </w:p>
    <w:p w14:paraId="688B64E7" w14:textId="77777777" w:rsidR="005D79F7" w:rsidRPr="00FA7341" w:rsidRDefault="005D79F7" w:rsidP="007369E7">
      <w:pPr>
        <w:spacing w:after="0" w:line="240" w:lineRule="auto"/>
        <w:rPr>
          <w:rFonts w:ascii="Century Gothic" w:hAnsi="Century Gothic" w:cs="Arial"/>
          <w:b/>
          <w:bCs/>
        </w:rPr>
      </w:pPr>
    </w:p>
    <w:p w14:paraId="46AAD845" w14:textId="77777777" w:rsidR="005D79F7" w:rsidRPr="00FA7341" w:rsidRDefault="005D79F7" w:rsidP="007369E7">
      <w:pPr>
        <w:spacing w:after="0" w:line="240" w:lineRule="auto"/>
        <w:jc w:val="center"/>
        <w:rPr>
          <w:rFonts w:ascii="Century Gothic" w:hAnsi="Century Gothic" w:cs="Arial"/>
          <w:b/>
          <w:bCs/>
        </w:rPr>
      </w:pPr>
    </w:p>
    <w:p w14:paraId="2337AD8E" w14:textId="77777777" w:rsidR="005D79F7" w:rsidRPr="00FA7341" w:rsidRDefault="005D79F7" w:rsidP="007369E7">
      <w:pPr>
        <w:spacing w:after="0" w:line="240" w:lineRule="auto"/>
        <w:jc w:val="center"/>
        <w:rPr>
          <w:rFonts w:ascii="Century Gothic" w:hAnsi="Century Gothic" w:cs="Arial"/>
          <w:b/>
          <w:bCs/>
        </w:rPr>
      </w:pPr>
    </w:p>
    <w:p w14:paraId="2A09D5F0" w14:textId="77777777" w:rsidR="005D79F7" w:rsidRPr="00FA7341" w:rsidRDefault="005D79F7" w:rsidP="007369E7">
      <w:pPr>
        <w:spacing w:after="0" w:line="240" w:lineRule="auto"/>
        <w:jc w:val="center"/>
        <w:rPr>
          <w:rFonts w:ascii="Century Gothic" w:hAnsi="Century Gothic" w:cs="Arial"/>
          <w:b/>
          <w:bCs/>
        </w:rPr>
      </w:pPr>
    </w:p>
    <w:p w14:paraId="56611840" w14:textId="77777777" w:rsidR="005D79F7" w:rsidRPr="00FA7341" w:rsidRDefault="005D79F7" w:rsidP="007369E7">
      <w:pPr>
        <w:spacing w:after="0" w:line="240" w:lineRule="auto"/>
        <w:jc w:val="center"/>
        <w:rPr>
          <w:rFonts w:ascii="Century Gothic" w:hAnsi="Century Gothic" w:cs="Arial"/>
          <w:b/>
          <w:bCs/>
        </w:rPr>
      </w:pPr>
    </w:p>
    <w:p w14:paraId="65EC34B3" w14:textId="77777777" w:rsidR="005D79F7" w:rsidRPr="00FA7341" w:rsidRDefault="005D79F7" w:rsidP="007369E7">
      <w:pPr>
        <w:spacing w:after="0" w:line="240" w:lineRule="auto"/>
        <w:jc w:val="center"/>
        <w:rPr>
          <w:rFonts w:ascii="Century Gothic" w:hAnsi="Century Gothic" w:cs="Arial"/>
          <w:b/>
          <w:bCs/>
        </w:rPr>
      </w:pPr>
    </w:p>
    <w:p w14:paraId="31AEB4FC" w14:textId="77777777" w:rsidR="005D79F7" w:rsidRPr="00FA7341" w:rsidRDefault="005D79F7" w:rsidP="007369E7">
      <w:pPr>
        <w:spacing w:after="0" w:line="240" w:lineRule="auto"/>
        <w:jc w:val="center"/>
        <w:rPr>
          <w:rFonts w:ascii="Century Gothic" w:hAnsi="Century Gothic" w:cs="Arial"/>
          <w:b/>
          <w:bCs/>
        </w:rPr>
      </w:pPr>
    </w:p>
    <w:p w14:paraId="1661E7FD" w14:textId="77777777" w:rsidR="005D79F7" w:rsidRPr="00FA7341" w:rsidRDefault="005D79F7" w:rsidP="007369E7">
      <w:pPr>
        <w:spacing w:after="0" w:line="240" w:lineRule="auto"/>
        <w:jc w:val="center"/>
        <w:rPr>
          <w:rFonts w:ascii="Century Gothic" w:hAnsi="Century Gothic" w:cs="Arial"/>
          <w:b/>
          <w:bCs/>
          <w:color w:val="FF0000"/>
        </w:rPr>
      </w:pPr>
    </w:p>
    <w:p w14:paraId="4711870F" w14:textId="77777777" w:rsidR="00041903" w:rsidRPr="00041903" w:rsidRDefault="00041903" w:rsidP="00041903">
      <w:pPr>
        <w:spacing w:after="0" w:line="240" w:lineRule="auto"/>
        <w:jc w:val="center"/>
        <w:rPr>
          <w:rFonts w:ascii="Century Gothic" w:hAnsi="Century Gothic" w:cs="Arial"/>
          <w:b/>
          <w:bCs/>
          <w:color w:val="000000" w:themeColor="text1"/>
        </w:rPr>
      </w:pPr>
      <w:r w:rsidRPr="00041903">
        <w:rPr>
          <w:rFonts w:ascii="Century Gothic" w:hAnsi="Century Gothic" w:cs="Arial"/>
          <w:b/>
          <w:bCs/>
          <w:color w:val="000000" w:themeColor="text1"/>
        </w:rPr>
        <w:t>ADQUISICIÓN DE BONOS O TARJETAS CANJEABLES EXCLUSIVAMENTE PARA COMPRA DE VESTUARIO Y CALZADO DE LABOR, PARA LOS SERVIDORES PÚBLICOS DE LA GOBERNACIÓN DE CUNDINAMARCA, QUE TENGAN DERECHO A LA DOTACIÓN.</w:t>
      </w:r>
    </w:p>
    <w:p w14:paraId="053D7AB7" w14:textId="77777777" w:rsidR="00B96648" w:rsidRPr="00FA7341" w:rsidRDefault="00B96648" w:rsidP="007369E7">
      <w:pPr>
        <w:spacing w:after="0" w:line="240" w:lineRule="auto"/>
        <w:jc w:val="center"/>
        <w:rPr>
          <w:rFonts w:ascii="Century Gothic" w:hAnsi="Century Gothic" w:cs="Arial"/>
          <w:b/>
          <w:bCs/>
          <w:highlight w:val="yellow"/>
        </w:rPr>
      </w:pPr>
    </w:p>
    <w:p w14:paraId="22997FAC" w14:textId="77777777" w:rsidR="00B96648" w:rsidRPr="00FA7341" w:rsidRDefault="00B96648" w:rsidP="007369E7">
      <w:pPr>
        <w:spacing w:after="0" w:line="240" w:lineRule="auto"/>
        <w:jc w:val="center"/>
        <w:rPr>
          <w:rFonts w:ascii="Century Gothic" w:hAnsi="Century Gothic" w:cs="Arial"/>
          <w:b/>
          <w:bCs/>
          <w:highlight w:val="yellow"/>
        </w:rPr>
      </w:pPr>
    </w:p>
    <w:p w14:paraId="75C39E02" w14:textId="77777777" w:rsidR="00B96648" w:rsidRPr="00FA7341" w:rsidRDefault="00B96648" w:rsidP="007369E7">
      <w:pPr>
        <w:spacing w:after="0" w:line="240" w:lineRule="auto"/>
        <w:jc w:val="center"/>
        <w:rPr>
          <w:rFonts w:ascii="Century Gothic" w:hAnsi="Century Gothic" w:cs="Arial"/>
          <w:b/>
          <w:bCs/>
          <w:color w:val="000000" w:themeColor="text1"/>
          <w:highlight w:val="yellow"/>
        </w:rPr>
      </w:pPr>
    </w:p>
    <w:p w14:paraId="6C91993A" w14:textId="77777777" w:rsidR="00B96648" w:rsidRPr="00FA7341" w:rsidRDefault="00B96648" w:rsidP="007369E7">
      <w:pPr>
        <w:spacing w:after="0" w:line="240" w:lineRule="auto"/>
        <w:jc w:val="center"/>
        <w:rPr>
          <w:rFonts w:ascii="Century Gothic" w:hAnsi="Century Gothic" w:cs="Arial"/>
          <w:b/>
          <w:bCs/>
          <w:color w:val="000000" w:themeColor="text1"/>
        </w:rPr>
      </w:pPr>
      <w:r w:rsidRPr="00FA7341">
        <w:rPr>
          <w:rFonts w:ascii="Century Gothic" w:hAnsi="Century Gothic" w:cs="Arial"/>
          <w:b/>
          <w:bCs/>
          <w:color w:val="000000" w:themeColor="text1"/>
        </w:rPr>
        <w:t>DEPARTAMENTO ADMINISTRATIVO DE FUNCIÓN PÚBLICA DE CUNDINAMARCA</w:t>
      </w:r>
    </w:p>
    <w:p w14:paraId="40EFF85C" w14:textId="77777777" w:rsidR="005D79F7" w:rsidRPr="00FA7341" w:rsidRDefault="005D79F7" w:rsidP="007369E7">
      <w:pPr>
        <w:spacing w:after="0" w:line="240" w:lineRule="auto"/>
        <w:rPr>
          <w:rFonts w:ascii="Century Gothic" w:hAnsi="Century Gothic" w:cs="Arial"/>
        </w:rPr>
      </w:pPr>
    </w:p>
    <w:p w14:paraId="5117C11B" w14:textId="77777777" w:rsidR="005D79F7" w:rsidRPr="00FA7341" w:rsidRDefault="005D79F7" w:rsidP="007369E7">
      <w:pPr>
        <w:spacing w:after="0" w:line="240" w:lineRule="auto"/>
        <w:jc w:val="center"/>
        <w:rPr>
          <w:rFonts w:ascii="Century Gothic" w:hAnsi="Century Gothic" w:cs="Arial"/>
          <w:b/>
          <w:bCs/>
        </w:rPr>
      </w:pPr>
    </w:p>
    <w:p w14:paraId="175800ED" w14:textId="77777777" w:rsidR="005D79F7" w:rsidRPr="00FA7341" w:rsidRDefault="005D79F7" w:rsidP="007369E7">
      <w:pPr>
        <w:spacing w:after="0" w:line="240" w:lineRule="auto"/>
        <w:jc w:val="center"/>
        <w:rPr>
          <w:rFonts w:ascii="Century Gothic" w:hAnsi="Century Gothic" w:cs="Arial"/>
          <w:b/>
          <w:bCs/>
        </w:rPr>
      </w:pPr>
    </w:p>
    <w:p w14:paraId="26284EF4" w14:textId="77777777" w:rsidR="005D79F7" w:rsidRPr="00FA7341" w:rsidRDefault="005D79F7" w:rsidP="007369E7">
      <w:pPr>
        <w:spacing w:after="0" w:line="240" w:lineRule="auto"/>
        <w:jc w:val="center"/>
        <w:rPr>
          <w:rFonts w:ascii="Century Gothic" w:hAnsi="Century Gothic" w:cs="Arial"/>
          <w:b/>
          <w:bCs/>
        </w:rPr>
      </w:pPr>
    </w:p>
    <w:p w14:paraId="7369ABB9" w14:textId="77777777" w:rsidR="005D79F7" w:rsidRPr="00FA7341" w:rsidRDefault="005D79F7" w:rsidP="007369E7">
      <w:pPr>
        <w:spacing w:after="0" w:line="240" w:lineRule="auto"/>
        <w:jc w:val="center"/>
        <w:rPr>
          <w:rFonts w:ascii="Century Gothic" w:hAnsi="Century Gothic" w:cs="Arial"/>
          <w:b/>
          <w:bCs/>
        </w:rPr>
      </w:pPr>
    </w:p>
    <w:p w14:paraId="37EDC42E" w14:textId="77777777" w:rsidR="005D79F7" w:rsidRPr="00FA7341" w:rsidRDefault="005D79F7" w:rsidP="007369E7">
      <w:pPr>
        <w:spacing w:after="0" w:line="240" w:lineRule="auto"/>
        <w:jc w:val="center"/>
        <w:rPr>
          <w:rFonts w:ascii="Century Gothic" w:hAnsi="Century Gothic" w:cs="Arial"/>
          <w:b/>
          <w:bCs/>
        </w:rPr>
      </w:pPr>
    </w:p>
    <w:p w14:paraId="378BE8CF" w14:textId="77777777" w:rsidR="005D79F7" w:rsidRPr="00FA7341" w:rsidRDefault="005D79F7" w:rsidP="007369E7">
      <w:pPr>
        <w:spacing w:after="0" w:line="240" w:lineRule="auto"/>
        <w:jc w:val="center"/>
        <w:rPr>
          <w:rFonts w:ascii="Century Gothic" w:hAnsi="Century Gothic" w:cs="Arial"/>
          <w:b/>
          <w:bCs/>
        </w:rPr>
      </w:pPr>
    </w:p>
    <w:p w14:paraId="28C4FF30" w14:textId="2FFD125C" w:rsidR="005519E2" w:rsidRPr="00FA7341" w:rsidRDefault="00041903" w:rsidP="007369E7">
      <w:pPr>
        <w:spacing w:after="0" w:line="240" w:lineRule="auto"/>
        <w:jc w:val="center"/>
        <w:rPr>
          <w:rFonts w:ascii="Century Gothic" w:hAnsi="Century Gothic" w:cs="Arial"/>
          <w:b/>
          <w:bCs/>
          <w:color w:val="000000" w:themeColor="text1"/>
        </w:rPr>
      </w:pPr>
      <w:r w:rsidRPr="00FA7341">
        <w:rPr>
          <w:rFonts w:ascii="Century Gothic" w:hAnsi="Century Gothic" w:cs="Arial"/>
          <w:b/>
          <w:bCs/>
          <w:color w:val="000000" w:themeColor="text1"/>
        </w:rPr>
        <w:t>JUNIO</w:t>
      </w:r>
    </w:p>
    <w:p w14:paraId="3D71E736" w14:textId="535E8446" w:rsidR="00636A11" w:rsidRPr="00FA7341" w:rsidRDefault="00B96648" w:rsidP="007369E7">
      <w:pPr>
        <w:spacing w:after="0" w:line="240" w:lineRule="auto"/>
        <w:jc w:val="center"/>
        <w:rPr>
          <w:rFonts w:ascii="Century Gothic" w:hAnsi="Century Gothic" w:cs="Arial"/>
          <w:b/>
          <w:bCs/>
          <w:color w:val="000000" w:themeColor="text1"/>
        </w:rPr>
      </w:pPr>
      <w:r w:rsidRPr="00FA7341">
        <w:rPr>
          <w:rFonts w:ascii="Century Gothic" w:hAnsi="Century Gothic" w:cs="Arial"/>
          <w:b/>
          <w:bCs/>
          <w:color w:val="000000" w:themeColor="text1"/>
        </w:rPr>
        <w:t>202</w:t>
      </w:r>
      <w:r w:rsidR="00922B8F" w:rsidRPr="00FA7341">
        <w:rPr>
          <w:rFonts w:ascii="Century Gothic" w:hAnsi="Century Gothic" w:cs="Arial"/>
          <w:b/>
          <w:bCs/>
          <w:color w:val="000000" w:themeColor="text1"/>
        </w:rPr>
        <w:t>6</w:t>
      </w:r>
    </w:p>
    <w:p w14:paraId="7D3950CB" w14:textId="6E3D36F2" w:rsidR="005D79F7" w:rsidRPr="00FA7341" w:rsidRDefault="005D79F7" w:rsidP="007369E7">
      <w:pPr>
        <w:spacing w:after="0" w:line="240" w:lineRule="auto"/>
        <w:jc w:val="center"/>
        <w:rPr>
          <w:rFonts w:ascii="Century Gothic" w:hAnsi="Century Gothic" w:cs="Arial"/>
          <w:b/>
          <w:bCs/>
        </w:rPr>
      </w:pPr>
    </w:p>
    <w:p w14:paraId="1ADD65FF" w14:textId="77777777" w:rsidR="005D79F7" w:rsidRPr="00FA7341" w:rsidRDefault="005D79F7" w:rsidP="007369E7">
      <w:pPr>
        <w:spacing w:after="0"/>
        <w:jc w:val="center"/>
        <w:rPr>
          <w:rFonts w:ascii="Century Gothic" w:hAnsi="Century Gothic" w:cs="Arial"/>
          <w:b/>
          <w:bCs/>
        </w:rPr>
      </w:pPr>
    </w:p>
    <w:p w14:paraId="19977655" w14:textId="77777777" w:rsidR="00D9253B" w:rsidRPr="00FA7341" w:rsidRDefault="00D9253B" w:rsidP="007369E7">
      <w:pPr>
        <w:spacing w:after="0"/>
        <w:jc w:val="center"/>
        <w:rPr>
          <w:rFonts w:ascii="Century Gothic" w:hAnsi="Century Gothic" w:cs="Arial"/>
          <w:b/>
          <w:bCs/>
        </w:rPr>
      </w:pPr>
    </w:p>
    <w:p w14:paraId="2D948FA5" w14:textId="77777777" w:rsidR="00D9253B" w:rsidRDefault="00D9253B" w:rsidP="007369E7">
      <w:pPr>
        <w:spacing w:after="0"/>
        <w:jc w:val="center"/>
        <w:rPr>
          <w:rFonts w:ascii="Century Gothic" w:hAnsi="Century Gothic" w:cs="Arial"/>
          <w:b/>
          <w:bCs/>
        </w:rPr>
      </w:pPr>
    </w:p>
    <w:p w14:paraId="40295FFD" w14:textId="77777777" w:rsidR="00564F61" w:rsidRPr="00FA7341" w:rsidRDefault="00564F61" w:rsidP="007369E7">
      <w:pPr>
        <w:spacing w:after="0"/>
        <w:jc w:val="center"/>
        <w:rPr>
          <w:rFonts w:ascii="Century Gothic" w:hAnsi="Century Gothic" w:cs="Arial"/>
          <w:b/>
          <w:bCs/>
        </w:rPr>
      </w:pPr>
    </w:p>
    <w:p w14:paraId="74F313B3" w14:textId="77777777" w:rsidR="00D07DB3" w:rsidRPr="00FA7341" w:rsidRDefault="00D07DB3" w:rsidP="006804EA">
      <w:pPr>
        <w:spacing w:after="0"/>
        <w:rPr>
          <w:rFonts w:ascii="Century Gothic" w:hAnsi="Century Gothic" w:cs="Arial"/>
          <w:b/>
          <w:bCs/>
        </w:rPr>
      </w:pPr>
    </w:p>
    <w:p w14:paraId="2C47B3F0" w14:textId="77777777" w:rsidR="005D79F7" w:rsidRPr="00FA7341" w:rsidRDefault="005D79F7" w:rsidP="007369E7">
      <w:pPr>
        <w:spacing w:after="0"/>
        <w:jc w:val="center"/>
        <w:rPr>
          <w:rFonts w:ascii="Century Gothic" w:hAnsi="Century Gothic" w:cs="Arial"/>
          <w:b/>
          <w:bCs/>
        </w:rPr>
      </w:pPr>
    </w:p>
    <w:p w14:paraId="55CEC60B" w14:textId="77777777" w:rsidR="005D79F7" w:rsidRPr="00FA7341" w:rsidRDefault="005D79F7" w:rsidP="007369E7">
      <w:pPr>
        <w:pStyle w:val="1"/>
        <w:spacing w:before="0" w:line="240" w:lineRule="auto"/>
        <w:rPr>
          <w:rFonts w:ascii="Century Gothic" w:hAnsi="Century Gothic" w:cs="Arial"/>
          <w:b/>
          <w:sz w:val="22"/>
          <w:szCs w:val="22"/>
        </w:rPr>
      </w:pPr>
      <w:r w:rsidRPr="00FA7341">
        <w:rPr>
          <w:rFonts w:ascii="Century Gothic" w:hAnsi="Century Gothic" w:cs="Arial"/>
          <w:b/>
          <w:sz w:val="22"/>
          <w:szCs w:val="22"/>
        </w:rPr>
        <w:lastRenderedPageBreak/>
        <w:t>CONTENIDO</w:t>
      </w:r>
    </w:p>
    <w:p w14:paraId="78907540" w14:textId="77777777" w:rsidR="005D79F7" w:rsidRPr="00FA7341" w:rsidRDefault="005D79F7" w:rsidP="007369E7">
      <w:pPr>
        <w:spacing w:after="0" w:line="240" w:lineRule="auto"/>
        <w:rPr>
          <w:rFonts w:ascii="Century Gothic" w:hAnsi="Century Gothic" w:cs="Arial"/>
          <w:lang w:eastAsia="es-CO"/>
        </w:rPr>
      </w:pPr>
    </w:p>
    <w:p w14:paraId="66FD1F11" w14:textId="607FC95D" w:rsidR="00564F61" w:rsidRDefault="005D79F7" w:rsidP="00564F61">
      <w:pPr>
        <w:pStyle w:val="TDC1"/>
        <w:rPr>
          <w:rFonts w:asciiTheme="minorHAnsi" w:eastAsiaTheme="minorEastAsia" w:hAnsiTheme="minorHAnsi" w:cstheme="minorBidi"/>
          <w:noProof/>
          <w:sz w:val="24"/>
          <w:szCs w:val="24"/>
          <w:lang w:eastAsia="es-CO"/>
          <w14:ligatures w14:val="standardContextual"/>
        </w:rPr>
      </w:pPr>
      <w:r w:rsidRPr="00FA7341">
        <w:rPr>
          <w:rFonts w:ascii="Century Gothic" w:hAnsi="Century Gothic" w:cs="Arial"/>
        </w:rPr>
        <w:fldChar w:fldCharType="begin"/>
      </w:r>
      <w:r w:rsidRPr="00FA7341">
        <w:rPr>
          <w:rFonts w:ascii="Century Gothic" w:hAnsi="Century Gothic" w:cs="Arial"/>
        </w:rPr>
        <w:instrText xml:space="preserve"> TOC \o "1-3" \h \z \u </w:instrText>
      </w:r>
      <w:r w:rsidRPr="00FA7341">
        <w:rPr>
          <w:rFonts w:ascii="Century Gothic" w:hAnsi="Century Gothic" w:cs="Arial"/>
        </w:rPr>
        <w:fldChar w:fldCharType="separate"/>
      </w:r>
      <w:hyperlink w:anchor="_Toc232673886" w:history="1">
        <w:r w:rsidR="00564F61" w:rsidRPr="00140601">
          <w:rPr>
            <w:rStyle w:val="Hipervnculo"/>
            <w:rFonts w:ascii="Century Gothic" w:hAnsi="Century Gothic" w:cs="Arial"/>
            <w:noProof/>
          </w:rPr>
          <w:t>1</w:t>
        </w:r>
        <w:r w:rsidR="00564F61">
          <w:rPr>
            <w:rFonts w:asciiTheme="minorHAnsi" w:eastAsiaTheme="minorEastAsia" w:hAnsiTheme="minorHAnsi" w:cstheme="minorBidi"/>
            <w:noProof/>
            <w:sz w:val="24"/>
            <w:szCs w:val="24"/>
            <w:lang w:eastAsia="es-CO"/>
            <w14:ligatures w14:val="standardContextual"/>
          </w:rPr>
          <w:tab/>
        </w:r>
        <w:r w:rsidR="00564F61" w:rsidRPr="00140601">
          <w:rPr>
            <w:rStyle w:val="Hipervnculo"/>
            <w:rFonts w:ascii="Century Gothic" w:hAnsi="Century Gothic" w:cs="Arial"/>
            <w:noProof/>
          </w:rPr>
          <w:t>ASPECTOS GENERALES</w:t>
        </w:r>
        <w:r w:rsidR="00564F61">
          <w:rPr>
            <w:noProof/>
            <w:webHidden/>
          </w:rPr>
          <w:tab/>
        </w:r>
        <w:r w:rsidR="00564F61">
          <w:rPr>
            <w:noProof/>
            <w:webHidden/>
          </w:rPr>
          <w:fldChar w:fldCharType="begin"/>
        </w:r>
        <w:r w:rsidR="00564F61">
          <w:rPr>
            <w:noProof/>
            <w:webHidden/>
          </w:rPr>
          <w:instrText xml:space="preserve"> PAGEREF _Toc232673886 \h </w:instrText>
        </w:r>
        <w:r w:rsidR="00564F61">
          <w:rPr>
            <w:noProof/>
            <w:webHidden/>
          </w:rPr>
        </w:r>
        <w:r w:rsidR="00564F61">
          <w:rPr>
            <w:noProof/>
            <w:webHidden/>
          </w:rPr>
          <w:fldChar w:fldCharType="separate"/>
        </w:r>
        <w:r w:rsidR="00564F61">
          <w:rPr>
            <w:noProof/>
            <w:webHidden/>
          </w:rPr>
          <w:t>3</w:t>
        </w:r>
        <w:r w:rsidR="00564F61">
          <w:rPr>
            <w:noProof/>
            <w:webHidden/>
          </w:rPr>
          <w:fldChar w:fldCharType="end"/>
        </w:r>
      </w:hyperlink>
    </w:p>
    <w:p w14:paraId="179DC75D" w14:textId="394AD81C"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887" w:history="1">
        <w:r w:rsidRPr="00140601">
          <w:rPr>
            <w:rStyle w:val="Hipervnculo"/>
            <w:rFonts w:ascii="Century Gothic" w:hAnsi="Century Gothic" w:cs="Arial"/>
            <w:noProof/>
          </w:rPr>
          <w:t>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INTRODUCCIÓN</w:t>
        </w:r>
        <w:r>
          <w:rPr>
            <w:noProof/>
            <w:webHidden/>
          </w:rPr>
          <w:tab/>
        </w:r>
        <w:r>
          <w:rPr>
            <w:noProof/>
            <w:webHidden/>
          </w:rPr>
          <w:fldChar w:fldCharType="begin"/>
        </w:r>
        <w:r>
          <w:rPr>
            <w:noProof/>
            <w:webHidden/>
          </w:rPr>
          <w:instrText xml:space="preserve"> PAGEREF _Toc232673887 \h </w:instrText>
        </w:r>
        <w:r>
          <w:rPr>
            <w:noProof/>
            <w:webHidden/>
          </w:rPr>
        </w:r>
        <w:r>
          <w:rPr>
            <w:noProof/>
            <w:webHidden/>
          </w:rPr>
          <w:fldChar w:fldCharType="separate"/>
        </w:r>
        <w:r>
          <w:rPr>
            <w:noProof/>
            <w:webHidden/>
          </w:rPr>
          <w:t>5</w:t>
        </w:r>
        <w:r>
          <w:rPr>
            <w:noProof/>
            <w:webHidden/>
          </w:rPr>
          <w:fldChar w:fldCharType="end"/>
        </w:r>
      </w:hyperlink>
    </w:p>
    <w:p w14:paraId="1AF5FBC0" w14:textId="4AF2DB25" w:rsidR="00564F61" w:rsidRDefault="00564F61">
      <w:pPr>
        <w:pStyle w:val="TDC2"/>
        <w:rPr>
          <w:rFonts w:asciiTheme="minorHAnsi" w:eastAsiaTheme="minorEastAsia" w:hAnsiTheme="minorHAnsi" w:cstheme="minorBidi"/>
          <w:noProof/>
          <w:sz w:val="24"/>
          <w:szCs w:val="24"/>
          <w:lang w:eastAsia="es-CO"/>
          <w14:ligatures w14:val="standardContextual"/>
        </w:rPr>
      </w:pPr>
      <w:hyperlink w:anchor="_Toc232673888" w:history="1">
        <w:r w:rsidRPr="00140601">
          <w:rPr>
            <w:rStyle w:val="Hipervnculo"/>
            <w:rFonts w:ascii="Century Gothic" w:hAnsi="Century Gothic" w:cs="Arial"/>
            <w:noProof/>
          </w:rPr>
          <w:t>2.1</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IDENTIFICACIÓN DEL SECTOR</w:t>
        </w:r>
        <w:r>
          <w:rPr>
            <w:noProof/>
            <w:webHidden/>
          </w:rPr>
          <w:tab/>
        </w:r>
        <w:r>
          <w:rPr>
            <w:noProof/>
            <w:webHidden/>
          </w:rPr>
          <w:fldChar w:fldCharType="begin"/>
        </w:r>
        <w:r>
          <w:rPr>
            <w:noProof/>
            <w:webHidden/>
          </w:rPr>
          <w:instrText xml:space="preserve"> PAGEREF _Toc232673888 \h </w:instrText>
        </w:r>
        <w:r>
          <w:rPr>
            <w:noProof/>
            <w:webHidden/>
          </w:rPr>
        </w:r>
        <w:r>
          <w:rPr>
            <w:noProof/>
            <w:webHidden/>
          </w:rPr>
          <w:fldChar w:fldCharType="separate"/>
        </w:r>
        <w:r>
          <w:rPr>
            <w:noProof/>
            <w:webHidden/>
          </w:rPr>
          <w:t>7</w:t>
        </w:r>
        <w:r>
          <w:rPr>
            <w:noProof/>
            <w:webHidden/>
          </w:rPr>
          <w:fldChar w:fldCharType="end"/>
        </w:r>
      </w:hyperlink>
    </w:p>
    <w:p w14:paraId="69C7BABB" w14:textId="10B428F9" w:rsidR="00564F61" w:rsidRDefault="00564F61">
      <w:pPr>
        <w:pStyle w:val="TDC2"/>
        <w:rPr>
          <w:rFonts w:asciiTheme="minorHAnsi" w:eastAsiaTheme="minorEastAsia" w:hAnsiTheme="minorHAnsi" w:cstheme="minorBidi"/>
          <w:noProof/>
          <w:sz w:val="24"/>
          <w:szCs w:val="24"/>
          <w:lang w:eastAsia="es-CO"/>
          <w14:ligatures w14:val="standardContextual"/>
        </w:rPr>
      </w:pPr>
      <w:hyperlink w:anchor="_Toc232673889" w:history="1">
        <w:r w:rsidRPr="00140601">
          <w:rPr>
            <w:rStyle w:val="Hipervnculo"/>
            <w:rFonts w:ascii="Century Gothic" w:hAnsi="Century Gothic" w:cs="Arial"/>
            <w:noProof/>
          </w:rPr>
          <w:t>2.2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CONTEXTO ECONÓMICO:</w:t>
        </w:r>
        <w:r>
          <w:rPr>
            <w:noProof/>
            <w:webHidden/>
          </w:rPr>
          <w:tab/>
        </w:r>
        <w:r>
          <w:rPr>
            <w:noProof/>
            <w:webHidden/>
          </w:rPr>
          <w:fldChar w:fldCharType="begin"/>
        </w:r>
        <w:r>
          <w:rPr>
            <w:noProof/>
            <w:webHidden/>
          </w:rPr>
          <w:instrText xml:space="preserve"> PAGEREF _Toc232673889 \h </w:instrText>
        </w:r>
        <w:r>
          <w:rPr>
            <w:noProof/>
            <w:webHidden/>
          </w:rPr>
        </w:r>
        <w:r>
          <w:rPr>
            <w:noProof/>
            <w:webHidden/>
          </w:rPr>
          <w:fldChar w:fldCharType="separate"/>
        </w:r>
        <w:r>
          <w:rPr>
            <w:noProof/>
            <w:webHidden/>
          </w:rPr>
          <w:t>11</w:t>
        </w:r>
        <w:r>
          <w:rPr>
            <w:noProof/>
            <w:webHidden/>
          </w:rPr>
          <w:fldChar w:fldCharType="end"/>
        </w:r>
      </w:hyperlink>
    </w:p>
    <w:p w14:paraId="2E538ACD" w14:textId="1AF5074A"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0" w:history="1">
        <w:r w:rsidRPr="00140601">
          <w:rPr>
            <w:rStyle w:val="Hipervnculo"/>
            <w:rFonts w:ascii="Century Gothic" w:hAnsi="Century Gothic" w:cs="Arial"/>
            <w:noProof/>
          </w:rPr>
          <w:t>2.2.1</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ÍNDICE DE PRECIOS AL CONSUMIDOR</w:t>
        </w:r>
        <w:r>
          <w:rPr>
            <w:noProof/>
            <w:webHidden/>
          </w:rPr>
          <w:tab/>
        </w:r>
        <w:r>
          <w:rPr>
            <w:noProof/>
            <w:webHidden/>
          </w:rPr>
          <w:fldChar w:fldCharType="begin"/>
        </w:r>
        <w:r>
          <w:rPr>
            <w:noProof/>
            <w:webHidden/>
          </w:rPr>
          <w:instrText xml:space="preserve"> PAGEREF _Toc232673890 \h </w:instrText>
        </w:r>
        <w:r>
          <w:rPr>
            <w:noProof/>
            <w:webHidden/>
          </w:rPr>
        </w:r>
        <w:r>
          <w:rPr>
            <w:noProof/>
            <w:webHidden/>
          </w:rPr>
          <w:fldChar w:fldCharType="separate"/>
        </w:r>
        <w:r>
          <w:rPr>
            <w:noProof/>
            <w:webHidden/>
          </w:rPr>
          <w:t>11</w:t>
        </w:r>
        <w:r>
          <w:rPr>
            <w:noProof/>
            <w:webHidden/>
          </w:rPr>
          <w:fldChar w:fldCharType="end"/>
        </w:r>
      </w:hyperlink>
    </w:p>
    <w:p w14:paraId="56009F68" w14:textId="3D29BCE6"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1" w:history="1">
        <w:r w:rsidRPr="00140601">
          <w:rPr>
            <w:rStyle w:val="Hipervnculo"/>
            <w:rFonts w:ascii="Century Gothic" w:hAnsi="Century Gothic" w:cs="Arial"/>
            <w:noProof/>
          </w:rPr>
          <w:t>2.2.2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PRODUCTO INTERNO BRUTO</w:t>
        </w:r>
        <w:r>
          <w:rPr>
            <w:noProof/>
            <w:webHidden/>
          </w:rPr>
          <w:tab/>
        </w:r>
        <w:r>
          <w:rPr>
            <w:noProof/>
            <w:webHidden/>
          </w:rPr>
          <w:fldChar w:fldCharType="begin"/>
        </w:r>
        <w:r>
          <w:rPr>
            <w:noProof/>
            <w:webHidden/>
          </w:rPr>
          <w:instrText xml:space="preserve"> PAGEREF _Toc232673891 \h </w:instrText>
        </w:r>
        <w:r>
          <w:rPr>
            <w:noProof/>
            <w:webHidden/>
          </w:rPr>
        </w:r>
        <w:r>
          <w:rPr>
            <w:noProof/>
            <w:webHidden/>
          </w:rPr>
          <w:fldChar w:fldCharType="separate"/>
        </w:r>
        <w:r>
          <w:rPr>
            <w:noProof/>
            <w:webHidden/>
          </w:rPr>
          <w:t>12</w:t>
        </w:r>
        <w:r>
          <w:rPr>
            <w:noProof/>
            <w:webHidden/>
          </w:rPr>
          <w:fldChar w:fldCharType="end"/>
        </w:r>
      </w:hyperlink>
    </w:p>
    <w:p w14:paraId="70F036D0" w14:textId="09A23F08"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2" w:history="1">
        <w:r w:rsidRPr="00140601">
          <w:rPr>
            <w:rStyle w:val="Hipervnculo"/>
            <w:rFonts w:ascii="Century Gothic" w:hAnsi="Century Gothic" w:cs="Arial"/>
            <w:noProof/>
          </w:rPr>
          <w:t>2.2.3</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COMPORTAMIENTO DEL DÓLAR (TRM):</w:t>
        </w:r>
        <w:r>
          <w:rPr>
            <w:noProof/>
            <w:webHidden/>
          </w:rPr>
          <w:tab/>
        </w:r>
        <w:r>
          <w:rPr>
            <w:noProof/>
            <w:webHidden/>
          </w:rPr>
          <w:fldChar w:fldCharType="begin"/>
        </w:r>
        <w:r>
          <w:rPr>
            <w:noProof/>
            <w:webHidden/>
          </w:rPr>
          <w:instrText xml:space="preserve"> PAGEREF _Toc232673892 \h </w:instrText>
        </w:r>
        <w:r>
          <w:rPr>
            <w:noProof/>
            <w:webHidden/>
          </w:rPr>
        </w:r>
        <w:r>
          <w:rPr>
            <w:noProof/>
            <w:webHidden/>
          </w:rPr>
          <w:fldChar w:fldCharType="separate"/>
        </w:r>
        <w:r>
          <w:rPr>
            <w:noProof/>
            <w:webHidden/>
          </w:rPr>
          <w:t>15</w:t>
        </w:r>
        <w:r>
          <w:rPr>
            <w:noProof/>
            <w:webHidden/>
          </w:rPr>
          <w:fldChar w:fldCharType="end"/>
        </w:r>
      </w:hyperlink>
    </w:p>
    <w:p w14:paraId="4A73C831" w14:textId="31ED3810"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3" w:history="1">
        <w:r w:rsidRPr="00140601">
          <w:rPr>
            <w:rStyle w:val="Hipervnculo"/>
            <w:rFonts w:ascii="Century Gothic" w:hAnsi="Century Gothic" w:cs="Arial"/>
            <w:noProof/>
          </w:rPr>
          <w:t>2.2.4</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FACTOR VARIACIÓN DEL SMMLV:</w:t>
        </w:r>
        <w:r>
          <w:rPr>
            <w:noProof/>
            <w:webHidden/>
          </w:rPr>
          <w:tab/>
        </w:r>
        <w:r>
          <w:rPr>
            <w:noProof/>
            <w:webHidden/>
          </w:rPr>
          <w:fldChar w:fldCharType="begin"/>
        </w:r>
        <w:r>
          <w:rPr>
            <w:noProof/>
            <w:webHidden/>
          </w:rPr>
          <w:instrText xml:space="preserve"> PAGEREF _Toc232673893 \h </w:instrText>
        </w:r>
        <w:r>
          <w:rPr>
            <w:noProof/>
            <w:webHidden/>
          </w:rPr>
        </w:r>
        <w:r>
          <w:rPr>
            <w:noProof/>
            <w:webHidden/>
          </w:rPr>
          <w:fldChar w:fldCharType="separate"/>
        </w:r>
        <w:r>
          <w:rPr>
            <w:noProof/>
            <w:webHidden/>
          </w:rPr>
          <w:t>16</w:t>
        </w:r>
        <w:r>
          <w:rPr>
            <w:noProof/>
            <w:webHidden/>
          </w:rPr>
          <w:fldChar w:fldCharType="end"/>
        </w:r>
      </w:hyperlink>
    </w:p>
    <w:p w14:paraId="56D3D8BD" w14:textId="4FC05D46"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4" w:history="1">
        <w:r w:rsidRPr="00140601">
          <w:rPr>
            <w:rStyle w:val="Hipervnculo"/>
            <w:rFonts w:ascii="Century Gothic" w:hAnsi="Century Gothic" w:cs="Arial"/>
            <w:noProof/>
          </w:rPr>
          <w:t>2.2.5</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OTROS ASPECTOS ECONÓMICOS</w:t>
        </w:r>
        <w:r>
          <w:rPr>
            <w:noProof/>
            <w:webHidden/>
          </w:rPr>
          <w:tab/>
        </w:r>
        <w:r>
          <w:rPr>
            <w:noProof/>
            <w:webHidden/>
          </w:rPr>
          <w:fldChar w:fldCharType="begin"/>
        </w:r>
        <w:r>
          <w:rPr>
            <w:noProof/>
            <w:webHidden/>
          </w:rPr>
          <w:instrText xml:space="preserve"> PAGEREF _Toc232673894 \h </w:instrText>
        </w:r>
        <w:r>
          <w:rPr>
            <w:noProof/>
            <w:webHidden/>
          </w:rPr>
        </w:r>
        <w:r>
          <w:rPr>
            <w:noProof/>
            <w:webHidden/>
          </w:rPr>
          <w:fldChar w:fldCharType="separate"/>
        </w:r>
        <w:r>
          <w:rPr>
            <w:noProof/>
            <w:webHidden/>
          </w:rPr>
          <w:t>18</w:t>
        </w:r>
        <w:r>
          <w:rPr>
            <w:noProof/>
            <w:webHidden/>
          </w:rPr>
          <w:fldChar w:fldCharType="end"/>
        </w:r>
      </w:hyperlink>
    </w:p>
    <w:p w14:paraId="182EBBCE" w14:textId="644C6ED7"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5" w:history="1">
        <w:r w:rsidRPr="00140601">
          <w:rPr>
            <w:rStyle w:val="Hipervnculo"/>
            <w:rFonts w:ascii="Century Gothic" w:hAnsi="Century Gothic" w:cs="Arial"/>
            <w:noProof/>
            <w:lang w:val="es-ES" w:eastAsia="es-ES"/>
          </w:rPr>
          <w:t>2.3</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CRITERIOS DIFERENCIALES PARA EMPRENDIMIENTO Y EMPRESAS DE MUJERES</w:t>
        </w:r>
        <w:r>
          <w:rPr>
            <w:noProof/>
            <w:webHidden/>
          </w:rPr>
          <w:tab/>
        </w:r>
        <w:r>
          <w:rPr>
            <w:noProof/>
            <w:webHidden/>
          </w:rPr>
          <w:fldChar w:fldCharType="begin"/>
        </w:r>
        <w:r>
          <w:rPr>
            <w:noProof/>
            <w:webHidden/>
          </w:rPr>
          <w:instrText xml:space="preserve"> PAGEREF _Toc232673895 \h </w:instrText>
        </w:r>
        <w:r>
          <w:rPr>
            <w:noProof/>
            <w:webHidden/>
          </w:rPr>
        </w:r>
        <w:r>
          <w:rPr>
            <w:noProof/>
            <w:webHidden/>
          </w:rPr>
          <w:fldChar w:fldCharType="separate"/>
        </w:r>
        <w:r>
          <w:rPr>
            <w:noProof/>
            <w:webHidden/>
          </w:rPr>
          <w:t>21</w:t>
        </w:r>
        <w:r>
          <w:rPr>
            <w:noProof/>
            <w:webHidden/>
          </w:rPr>
          <w:fldChar w:fldCharType="end"/>
        </w:r>
      </w:hyperlink>
    </w:p>
    <w:p w14:paraId="53E78BF3" w14:textId="3B90ECD5"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6" w:history="1">
        <w:r w:rsidRPr="00140601">
          <w:rPr>
            <w:rStyle w:val="Hipervnculo"/>
            <w:rFonts w:ascii="Century Gothic" w:hAnsi="Century Gothic" w:cs="Arial"/>
            <w:noProof/>
            <w:lang w:val="es-ES" w:eastAsia="es-ES"/>
          </w:rPr>
          <w:t>2.4</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FOMENTO A LA EJECUCIÓN DE CONTRATOS ESTATALES POR PARTE DE POBLACIÓN EN POBREZA EXTREMA, DESPLAZADOS POR LA VIOLENCIA, PERSONAS EN PROCESO DE REINTEGRACIÓN O REINCORPORACIÓN Y SUJETOS DE ESPECIAL PROTECCIÓN CONSTITUCIONAL.</w:t>
        </w:r>
        <w:r>
          <w:rPr>
            <w:noProof/>
            <w:webHidden/>
          </w:rPr>
          <w:tab/>
        </w:r>
        <w:r>
          <w:rPr>
            <w:noProof/>
            <w:webHidden/>
          </w:rPr>
          <w:fldChar w:fldCharType="begin"/>
        </w:r>
        <w:r>
          <w:rPr>
            <w:noProof/>
            <w:webHidden/>
          </w:rPr>
          <w:instrText xml:space="preserve"> PAGEREF _Toc232673896 \h </w:instrText>
        </w:r>
        <w:r>
          <w:rPr>
            <w:noProof/>
            <w:webHidden/>
          </w:rPr>
        </w:r>
        <w:r>
          <w:rPr>
            <w:noProof/>
            <w:webHidden/>
          </w:rPr>
          <w:fldChar w:fldCharType="separate"/>
        </w:r>
        <w:r>
          <w:rPr>
            <w:noProof/>
            <w:webHidden/>
          </w:rPr>
          <w:t>22</w:t>
        </w:r>
        <w:r>
          <w:rPr>
            <w:noProof/>
            <w:webHidden/>
          </w:rPr>
          <w:fldChar w:fldCharType="end"/>
        </w:r>
      </w:hyperlink>
    </w:p>
    <w:p w14:paraId="74F0D95E" w14:textId="0E4EAB5E"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897" w:history="1">
        <w:r w:rsidRPr="00140601">
          <w:rPr>
            <w:rStyle w:val="Hipervnculo"/>
            <w:rFonts w:ascii="Century Gothic" w:hAnsi="Century Gothic" w:cs="Arial"/>
            <w:noProof/>
          </w:rPr>
          <w:t>3</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CONTEXTO LEGAL</w:t>
        </w:r>
        <w:r>
          <w:rPr>
            <w:noProof/>
            <w:webHidden/>
          </w:rPr>
          <w:tab/>
        </w:r>
        <w:r>
          <w:rPr>
            <w:noProof/>
            <w:webHidden/>
          </w:rPr>
          <w:fldChar w:fldCharType="begin"/>
        </w:r>
        <w:r>
          <w:rPr>
            <w:noProof/>
            <w:webHidden/>
          </w:rPr>
          <w:instrText xml:space="preserve"> PAGEREF _Toc232673897 \h </w:instrText>
        </w:r>
        <w:r>
          <w:rPr>
            <w:noProof/>
            <w:webHidden/>
          </w:rPr>
        </w:r>
        <w:r>
          <w:rPr>
            <w:noProof/>
            <w:webHidden/>
          </w:rPr>
          <w:fldChar w:fldCharType="separate"/>
        </w:r>
        <w:r>
          <w:rPr>
            <w:noProof/>
            <w:webHidden/>
          </w:rPr>
          <w:t>25</w:t>
        </w:r>
        <w:r>
          <w:rPr>
            <w:noProof/>
            <w:webHidden/>
          </w:rPr>
          <w:fldChar w:fldCharType="end"/>
        </w:r>
      </w:hyperlink>
    </w:p>
    <w:p w14:paraId="56CFE129" w14:textId="6A068F26" w:rsidR="00564F61" w:rsidRDefault="00564F61">
      <w:pPr>
        <w:pStyle w:val="TDC2"/>
        <w:rPr>
          <w:rFonts w:asciiTheme="minorHAnsi" w:eastAsiaTheme="minorEastAsia" w:hAnsiTheme="minorHAnsi" w:cstheme="minorBidi"/>
          <w:noProof/>
          <w:sz w:val="24"/>
          <w:szCs w:val="24"/>
          <w:lang w:eastAsia="es-CO"/>
          <w14:ligatures w14:val="standardContextual"/>
        </w:rPr>
      </w:pPr>
      <w:hyperlink w:anchor="_Toc232673898" w:history="1">
        <w:r w:rsidRPr="00140601">
          <w:rPr>
            <w:rStyle w:val="Hipervnculo"/>
            <w:rFonts w:ascii="Century Gothic" w:hAnsi="Century Gothic" w:cs="Arial"/>
            <w:noProof/>
          </w:rPr>
          <w:t>3.2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COMPORTAMIENTO DEL GASTO HISTÓRICO</w:t>
        </w:r>
        <w:r>
          <w:rPr>
            <w:noProof/>
            <w:webHidden/>
          </w:rPr>
          <w:tab/>
        </w:r>
        <w:r>
          <w:rPr>
            <w:noProof/>
            <w:webHidden/>
          </w:rPr>
          <w:fldChar w:fldCharType="begin"/>
        </w:r>
        <w:r>
          <w:rPr>
            <w:noProof/>
            <w:webHidden/>
          </w:rPr>
          <w:instrText xml:space="preserve"> PAGEREF _Toc232673898 \h </w:instrText>
        </w:r>
        <w:r>
          <w:rPr>
            <w:noProof/>
            <w:webHidden/>
          </w:rPr>
        </w:r>
        <w:r>
          <w:rPr>
            <w:noProof/>
            <w:webHidden/>
          </w:rPr>
          <w:fldChar w:fldCharType="separate"/>
        </w:r>
        <w:r>
          <w:rPr>
            <w:noProof/>
            <w:webHidden/>
          </w:rPr>
          <w:t>27</w:t>
        </w:r>
        <w:r>
          <w:rPr>
            <w:noProof/>
            <w:webHidden/>
          </w:rPr>
          <w:fldChar w:fldCharType="end"/>
        </w:r>
      </w:hyperlink>
    </w:p>
    <w:p w14:paraId="7FFDBF07" w14:textId="06F9CE8C"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899" w:history="1">
        <w:r w:rsidRPr="00140601">
          <w:rPr>
            <w:rStyle w:val="Hipervnculo"/>
            <w:rFonts w:ascii="Century Gothic" w:hAnsi="Century Gothic" w:cs="Arial"/>
            <w:noProof/>
            <w:lang w:val="es-ES" w:eastAsia="es-ES"/>
          </w:rPr>
          <w:t>3.3</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Adquisiciones anteriores por parte de otras entidades públicas</w:t>
        </w:r>
        <w:r>
          <w:rPr>
            <w:noProof/>
            <w:webHidden/>
          </w:rPr>
          <w:tab/>
        </w:r>
        <w:r>
          <w:rPr>
            <w:noProof/>
            <w:webHidden/>
          </w:rPr>
          <w:fldChar w:fldCharType="begin"/>
        </w:r>
        <w:r>
          <w:rPr>
            <w:noProof/>
            <w:webHidden/>
          </w:rPr>
          <w:instrText xml:space="preserve"> PAGEREF _Toc232673899 \h </w:instrText>
        </w:r>
        <w:r>
          <w:rPr>
            <w:noProof/>
            <w:webHidden/>
          </w:rPr>
        </w:r>
        <w:r>
          <w:rPr>
            <w:noProof/>
            <w:webHidden/>
          </w:rPr>
          <w:fldChar w:fldCharType="separate"/>
        </w:r>
        <w:r>
          <w:rPr>
            <w:noProof/>
            <w:webHidden/>
          </w:rPr>
          <w:t>28</w:t>
        </w:r>
        <w:r>
          <w:rPr>
            <w:noProof/>
            <w:webHidden/>
          </w:rPr>
          <w:fldChar w:fldCharType="end"/>
        </w:r>
      </w:hyperlink>
    </w:p>
    <w:p w14:paraId="44966747" w14:textId="595A4AE3"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00" w:history="1">
        <w:r w:rsidRPr="00140601">
          <w:rPr>
            <w:rStyle w:val="Hipervnculo"/>
            <w:rFonts w:ascii="Century Gothic" w:hAnsi="Century Gothic" w:cs="Arial"/>
            <w:noProof/>
            <w:lang w:val="es-ES" w:eastAsia="es-ES"/>
          </w:rPr>
          <w:t>3.4</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ANÁLISIS DE LA OFERTA</w:t>
        </w:r>
        <w:r>
          <w:rPr>
            <w:noProof/>
            <w:webHidden/>
          </w:rPr>
          <w:tab/>
        </w:r>
        <w:r>
          <w:rPr>
            <w:noProof/>
            <w:webHidden/>
          </w:rPr>
          <w:fldChar w:fldCharType="begin"/>
        </w:r>
        <w:r>
          <w:rPr>
            <w:noProof/>
            <w:webHidden/>
          </w:rPr>
          <w:instrText xml:space="preserve"> PAGEREF _Toc232673900 \h </w:instrText>
        </w:r>
        <w:r>
          <w:rPr>
            <w:noProof/>
            <w:webHidden/>
          </w:rPr>
        </w:r>
        <w:r>
          <w:rPr>
            <w:noProof/>
            <w:webHidden/>
          </w:rPr>
          <w:fldChar w:fldCharType="separate"/>
        </w:r>
        <w:r>
          <w:rPr>
            <w:noProof/>
            <w:webHidden/>
          </w:rPr>
          <w:t>30</w:t>
        </w:r>
        <w:r>
          <w:rPr>
            <w:noProof/>
            <w:webHidden/>
          </w:rPr>
          <w:fldChar w:fldCharType="end"/>
        </w:r>
      </w:hyperlink>
    </w:p>
    <w:p w14:paraId="5904F2D2" w14:textId="5E5015A7"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01" w:history="1">
        <w:r w:rsidRPr="00140601">
          <w:rPr>
            <w:rStyle w:val="Hipervnculo"/>
            <w:rFonts w:ascii="Century Gothic" w:hAnsi="Century Gothic" w:cs="Arial"/>
            <w:noProof/>
            <w:lang w:val="es-ES" w:eastAsia="es-ES"/>
          </w:rPr>
          <w:t>3.5</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Análisis de la demanda</w:t>
        </w:r>
        <w:r>
          <w:rPr>
            <w:noProof/>
            <w:webHidden/>
          </w:rPr>
          <w:tab/>
        </w:r>
        <w:r>
          <w:rPr>
            <w:noProof/>
            <w:webHidden/>
          </w:rPr>
          <w:fldChar w:fldCharType="begin"/>
        </w:r>
        <w:r>
          <w:rPr>
            <w:noProof/>
            <w:webHidden/>
          </w:rPr>
          <w:instrText xml:space="preserve"> PAGEREF _Toc232673901 \h </w:instrText>
        </w:r>
        <w:r>
          <w:rPr>
            <w:noProof/>
            <w:webHidden/>
          </w:rPr>
        </w:r>
        <w:r>
          <w:rPr>
            <w:noProof/>
            <w:webHidden/>
          </w:rPr>
          <w:fldChar w:fldCharType="separate"/>
        </w:r>
        <w:r>
          <w:rPr>
            <w:noProof/>
            <w:webHidden/>
          </w:rPr>
          <w:t>32</w:t>
        </w:r>
        <w:r>
          <w:rPr>
            <w:noProof/>
            <w:webHidden/>
          </w:rPr>
          <w:fldChar w:fldCharType="end"/>
        </w:r>
      </w:hyperlink>
    </w:p>
    <w:p w14:paraId="2DE44EF0" w14:textId="23CB35E4"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902" w:history="1">
        <w:r w:rsidRPr="00140601">
          <w:rPr>
            <w:rStyle w:val="Hipervnculo"/>
            <w:rFonts w:ascii="Century Gothic" w:hAnsi="Century Gothic" w:cs="Arial"/>
            <w:noProof/>
            <w:lang w:eastAsia="es-ES"/>
          </w:rPr>
          <w:t>4</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eastAsia="es-ES"/>
          </w:rPr>
          <w:t>Modalidad de Contratación</w:t>
        </w:r>
        <w:r>
          <w:rPr>
            <w:noProof/>
            <w:webHidden/>
          </w:rPr>
          <w:tab/>
        </w:r>
        <w:r>
          <w:rPr>
            <w:noProof/>
            <w:webHidden/>
          </w:rPr>
          <w:fldChar w:fldCharType="begin"/>
        </w:r>
        <w:r>
          <w:rPr>
            <w:noProof/>
            <w:webHidden/>
          </w:rPr>
          <w:instrText xml:space="preserve"> PAGEREF _Toc232673902 \h </w:instrText>
        </w:r>
        <w:r>
          <w:rPr>
            <w:noProof/>
            <w:webHidden/>
          </w:rPr>
        </w:r>
        <w:r>
          <w:rPr>
            <w:noProof/>
            <w:webHidden/>
          </w:rPr>
          <w:fldChar w:fldCharType="separate"/>
        </w:r>
        <w:r>
          <w:rPr>
            <w:noProof/>
            <w:webHidden/>
          </w:rPr>
          <w:t>34</w:t>
        </w:r>
        <w:r>
          <w:rPr>
            <w:noProof/>
            <w:webHidden/>
          </w:rPr>
          <w:fldChar w:fldCharType="end"/>
        </w:r>
      </w:hyperlink>
    </w:p>
    <w:p w14:paraId="2AB50F33" w14:textId="40B23BAA" w:rsidR="00564F61" w:rsidRDefault="00564F61">
      <w:pPr>
        <w:pStyle w:val="TDC2"/>
        <w:rPr>
          <w:rFonts w:asciiTheme="minorHAnsi" w:eastAsiaTheme="minorEastAsia" w:hAnsiTheme="minorHAnsi" w:cstheme="minorBidi"/>
          <w:noProof/>
          <w:sz w:val="24"/>
          <w:szCs w:val="24"/>
          <w:lang w:eastAsia="es-CO"/>
          <w14:ligatures w14:val="standardContextual"/>
        </w:rPr>
      </w:pPr>
      <w:hyperlink w:anchor="_Toc232673903" w:history="1">
        <w:r w:rsidRPr="00140601">
          <w:rPr>
            <w:rStyle w:val="Hipervnculo"/>
            <w:rFonts w:ascii="Century Gothic" w:hAnsi="Century Gothic" w:cs="Arial"/>
            <w:noProof/>
          </w:rPr>
          <w:t>4.2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rPr>
          <w:t>IDENTIFICACIÓN DEL CONTRATO A CELEBRAR</w:t>
        </w:r>
        <w:r>
          <w:rPr>
            <w:noProof/>
            <w:webHidden/>
          </w:rPr>
          <w:tab/>
        </w:r>
        <w:r>
          <w:rPr>
            <w:noProof/>
            <w:webHidden/>
          </w:rPr>
          <w:fldChar w:fldCharType="begin"/>
        </w:r>
        <w:r>
          <w:rPr>
            <w:noProof/>
            <w:webHidden/>
          </w:rPr>
          <w:instrText xml:space="preserve"> PAGEREF _Toc232673903 \h </w:instrText>
        </w:r>
        <w:r>
          <w:rPr>
            <w:noProof/>
            <w:webHidden/>
          </w:rPr>
        </w:r>
        <w:r>
          <w:rPr>
            <w:noProof/>
            <w:webHidden/>
          </w:rPr>
          <w:fldChar w:fldCharType="separate"/>
        </w:r>
        <w:r>
          <w:rPr>
            <w:noProof/>
            <w:webHidden/>
          </w:rPr>
          <w:t>35</w:t>
        </w:r>
        <w:r>
          <w:rPr>
            <w:noProof/>
            <w:webHidden/>
          </w:rPr>
          <w:fldChar w:fldCharType="end"/>
        </w:r>
      </w:hyperlink>
    </w:p>
    <w:p w14:paraId="7F14F256" w14:textId="3A4AA59D"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904" w:history="1">
        <w:r w:rsidRPr="00140601">
          <w:rPr>
            <w:rStyle w:val="Hipervnculo"/>
            <w:rFonts w:ascii="Century Gothic" w:hAnsi="Century Gothic" w:cs="Arial"/>
            <w:noProof/>
            <w:lang w:eastAsia="es-ES"/>
          </w:rPr>
          <w:t>5</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eastAsia="es-ES"/>
          </w:rPr>
          <w:t>Plazo del contrato</w:t>
        </w:r>
        <w:r>
          <w:rPr>
            <w:noProof/>
            <w:webHidden/>
          </w:rPr>
          <w:tab/>
        </w:r>
        <w:r>
          <w:rPr>
            <w:noProof/>
            <w:webHidden/>
          </w:rPr>
          <w:fldChar w:fldCharType="begin"/>
        </w:r>
        <w:r>
          <w:rPr>
            <w:noProof/>
            <w:webHidden/>
          </w:rPr>
          <w:instrText xml:space="preserve"> PAGEREF _Toc232673904 \h </w:instrText>
        </w:r>
        <w:r>
          <w:rPr>
            <w:noProof/>
            <w:webHidden/>
          </w:rPr>
        </w:r>
        <w:r>
          <w:rPr>
            <w:noProof/>
            <w:webHidden/>
          </w:rPr>
          <w:fldChar w:fldCharType="separate"/>
        </w:r>
        <w:r>
          <w:rPr>
            <w:noProof/>
            <w:webHidden/>
          </w:rPr>
          <w:t>35</w:t>
        </w:r>
        <w:r>
          <w:rPr>
            <w:noProof/>
            <w:webHidden/>
          </w:rPr>
          <w:fldChar w:fldCharType="end"/>
        </w:r>
      </w:hyperlink>
    </w:p>
    <w:p w14:paraId="61A1D323" w14:textId="4362D8BD"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905" w:history="1">
        <w:r w:rsidRPr="00140601">
          <w:rPr>
            <w:rStyle w:val="Hipervnculo"/>
            <w:rFonts w:ascii="Century Gothic" w:hAnsi="Century Gothic" w:cs="Arial"/>
            <w:noProof/>
            <w:lang w:eastAsia="es-ES"/>
          </w:rPr>
          <w:t>6</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eastAsia="es-ES"/>
          </w:rPr>
          <w:t>Garantías exigidas</w:t>
        </w:r>
        <w:r>
          <w:rPr>
            <w:noProof/>
            <w:webHidden/>
          </w:rPr>
          <w:tab/>
        </w:r>
        <w:r>
          <w:rPr>
            <w:noProof/>
            <w:webHidden/>
          </w:rPr>
          <w:fldChar w:fldCharType="begin"/>
        </w:r>
        <w:r>
          <w:rPr>
            <w:noProof/>
            <w:webHidden/>
          </w:rPr>
          <w:instrText xml:space="preserve"> PAGEREF _Toc232673905 \h </w:instrText>
        </w:r>
        <w:r>
          <w:rPr>
            <w:noProof/>
            <w:webHidden/>
          </w:rPr>
        </w:r>
        <w:r>
          <w:rPr>
            <w:noProof/>
            <w:webHidden/>
          </w:rPr>
          <w:fldChar w:fldCharType="separate"/>
        </w:r>
        <w:r>
          <w:rPr>
            <w:noProof/>
            <w:webHidden/>
          </w:rPr>
          <w:t>35</w:t>
        </w:r>
        <w:r>
          <w:rPr>
            <w:noProof/>
            <w:webHidden/>
          </w:rPr>
          <w:fldChar w:fldCharType="end"/>
        </w:r>
      </w:hyperlink>
    </w:p>
    <w:p w14:paraId="182DD656" w14:textId="7DF49F51"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906" w:history="1">
        <w:r w:rsidRPr="00140601">
          <w:rPr>
            <w:rStyle w:val="Hipervnculo"/>
            <w:rFonts w:ascii="Century Gothic" w:hAnsi="Century Gothic" w:cs="Arial"/>
            <w:noProof/>
            <w:lang w:eastAsia="es-ES"/>
          </w:rPr>
          <w:t>7</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eastAsia="es-ES"/>
          </w:rPr>
          <w:t>PRESUPUESTO OFICIAL Y SU JUSTIFICACIÓN, VARIABLES UTILIZADAS Y RUBROS QUE LO COMPONEN.</w:t>
        </w:r>
        <w:r>
          <w:rPr>
            <w:noProof/>
            <w:webHidden/>
          </w:rPr>
          <w:tab/>
        </w:r>
        <w:r>
          <w:rPr>
            <w:noProof/>
            <w:webHidden/>
          </w:rPr>
          <w:fldChar w:fldCharType="begin"/>
        </w:r>
        <w:r>
          <w:rPr>
            <w:noProof/>
            <w:webHidden/>
          </w:rPr>
          <w:instrText xml:space="preserve"> PAGEREF _Toc232673906 \h </w:instrText>
        </w:r>
        <w:r>
          <w:rPr>
            <w:noProof/>
            <w:webHidden/>
          </w:rPr>
        </w:r>
        <w:r>
          <w:rPr>
            <w:noProof/>
            <w:webHidden/>
          </w:rPr>
          <w:fldChar w:fldCharType="separate"/>
        </w:r>
        <w:r>
          <w:rPr>
            <w:noProof/>
            <w:webHidden/>
          </w:rPr>
          <w:t>36</w:t>
        </w:r>
        <w:r>
          <w:rPr>
            <w:noProof/>
            <w:webHidden/>
          </w:rPr>
          <w:fldChar w:fldCharType="end"/>
        </w:r>
      </w:hyperlink>
    </w:p>
    <w:p w14:paraId="318454F2" w14:textId="2AD6E2DE" w:rsidR="00564F61" w:rsidRPr="007F3B01" w:rsidRDefault="00564F61" w:rsidP="00564F61">
      <w:pPr>
        <w:pStyle w:val="TDC1"/>
        <w:rPr>
          <w:rStyle w:val="Hipervnculo"/>
          <w:rFonts w:ascii="Century Gothic" w:hAnsi="Century Gothic" w:cs="Arial"/>
        </w:rPr>
      </w:pPr>
      <w:hyperlink w:anchor="_Toc232673907" w:history="1">
        <w:r w:rsidRPr="007F3B01">
          <w:rPr>
            <w:rStyle w:val="Hipervnculo"/>
            <w:rFonts w:ascii="Century Gothic" w:hAnsi="Century Gothic" w:cs="Arial"/>
            <w:noProof/>
          </w:rPr>
          <w:t>8</w:t>
        </w:r>
        <w:r w:rsidRPr="007F3B01">
          <w:rPr>
            <w:rStyle w:val="Hipervnculo"/>
            <w:rFonts w:ascii="Century Gothic" w:hAnsi="Century Gothic" w:cs="Arial"/>
          </w:rPr>
          <w:tab/>
        </w:r>
        <w:r w:rsidRPr="007F3B01">
          <w:rPr>
            <w:rStyle w:val="Hipervnculo"/>
            <w:rFonts w:ascii="Century Gothic" w:hAnsi="Century Gothic" w:cs="Arial"/>
            <w:noProof/>
          </w:rPr>
          <w:t>INDICADORES FINANCIEROS Y ORGANIZACIONALES</w:t>
        </w:r>
        <w:r w:rsidRPr="007F3B01">
          <w:rPr>
            <w:rStyle w:val="Hipervnculo"/>
            <w:rFonts w:ascii="Century Gothic" w:hAnsi="Century Gothic" w:cs="Arial"/>
            <w:webHidden/>
          </w:rPr>
          <w:tab/>
        </w:r>
        <w:r w:rsidRPr="007F3B01">
          <w:rPr>
            <w:rStyle w:val="Hipervnculo"/>
            <w:rFonts w:ascii="Century Gothic" w:hAnsi="Century Gothic" w:cs="Arial"/>
            <w:webHidden/>
          </w:rPr>
          <w:fldChar w:fldCharType="begin"/>
        </w:r>
        <w:r w:rsidRPr="007F3B01">
          <w:rPr>
            <w:rStyle w:val="Hipervnculo"/>
            <w:rFonts w:ascii="Century Gothic" w:hAnsi="Century Gothic" w:cs="Arial"/>
            <w:webHidden/>
          </w:rPr>
          <w:instrText xml:space="preserve"> PAGEREF _Toc232673907 \h </w:instrText>
        </w:r>
        <w:r w:rsidRPr="007F3B01">
          <w:rPr>
            <w:rStyle w:val="Hipervnculo"/>
            <w:rFonts w:ascii="Century Gothic" w:hAnsi="Century Gothic" w:cs="Arial"/>
            <w:webHidden/>
          </w:rPr>
        </w:r>
        <w:r w:rsidRPr="007F3B01">
          <w:rPr>
            <w:rStyle w:val="Hipervnculo"/>
            <w:rFonts w:ascii="Century Gothic" w:hAnsi="Century Gothic" w:cs="Arial"/>
            <w:webHidden/>
          </w:rPr>
          <w:fldChar w:fldCharType="separate"/>
        </w:r>
        <w:r w:rsidRPr="007F3B01">
          <w:rPr>
            <w:rStyle w:val="Hipervnculo"/>
            <w:rFonts w:ascii="Century Gothic" w:hAnsi="Century Gothic" w:cs="Arial"/>
            <w:webHidden/>
          </w:rPr>
          <w:t>37</w:t>
        </w:r>
        <w:r w:rsidRPr="007F3B01">
          <w:rPr>
            <w:rStyle w:val="Hipervnculo"/>
            <w:rFonts w:ascii="Century Gothic" w:hAnsi="Century Gothic" w:cs="Arial"/>
            <w:webHidden/>
          </w:rPr>
          <w:fldChar w:fldCharType="end"/>
        </w:r>
      </w:hyperlink>
    </w:p>
    <w:p w14:paraId="3CBB8821" w14:textId="47A77A92"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08" w:history="1">
        <w:r w:rsidRPr="00140601">
          <w:rPr>
            <w:rStyle w:val="Hipervnculo"/>
            <w:rFonts w:ascii="Century Gothic" w:hAnsi="Century Gothic" w:cs="Arial"/>
            <w:noProof/>
            <w:lang w:val="es-ES" w:eastAsia="es-ES"/>
          </w:rPr>
          <w:t>8.1</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Indicador de Liquidez</w:t>
        </w:r>
        <w:r>
          <w:rPr>
            <w:noProof/>
            <w:webHidden/>
          </w:rPr>
          <w:tab/>
        </w:r>
        <w:r>
          <w:rPr>
            <w:noProof/>
            <w:webHidden/>
          </w:rPr>
          <w:fldChar w:fldCharType="begin"/>
        </w:r>
        <w:r>
          <w:rPr>
            <w:noProof/>
            <w:webHidden/>
          </w:rPr>
          <w:instrText xml:space="preserve"> PAGEREF _Toc232673908 \h </w:instrText>
        </w:r>
        <w:r>
          <w:rPr>
            <w:noProof/>
            <w:webHidden/>
          </w:rPr>
        </w:r>
        <w:r>
          <w:rPr>
            <w:noProof/>
            <w:webHidden/>
          </w:rPr>
          <w:fldChar w:fldCharType="separate"/>
        </w:r>
        <w:r>
          <w:rPr>
            <w:noProof/>
            <w:webHidden/>
          </w:rPr>
          <w:t>42</w:t>
        </w:r>
        <w:r>
          <w:rPr>
            <w:noProof/>
            <w:webHidden/>
          </w:rPr>
          <w:fldChar w:fldCharType="end"/>
        </w:r>
      </w:hyperlink>
    </w:p>
    <w:p w14:paraId="01622705" w14:textId="2DC9765E"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09" w:history="1">
        <w:r w:rsidRPr="00140601">
          <w:rPr>
            <w:rStyle w:val="Hipervnculo"/>
            <w:rFonts w:ascii="Century Gothic" w:hAnsi="Century Gothic" w:cs="Arial"/>
            <w:noProof/>
            <w:lang w:val="es-ES" w:eastAsia="es-ES"/>
          </w:rPr>
          <w:t>8.2</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Indicador de Nivel de Endeudamiento</w:t>
        </w:r>
        <w:r>
          <w:rPr>
            <w:noProof/>
            <w:webHidden/>
          </w:rPr>
          <w:tab/>
        </w:r>
        <w:r>
          <w:rPr>
            <w:noProof/>
            <w:webHidden/>
          </w:rPr>
          <w:fldChar w:fldCharType="begin"/>
        </w:r>
        <w:r>
          <w:rPr>
            <w:noProof/>
            <w:webHidden/>
          </w:rPr>
          <w:instrText xml:space="preserve"> PAGEREF _Toc232673909 \h </w:instrText>
        </w:r>
        <w:r>
          <w:rPr>
            <w:noProof/>
            <w:webHidden/>
          </w:rPr>
        </w:r>
        <w:r>
          <w:rPr>
            <w:noProof/>
            <w:webHidden/>
          </w:rPr>
          <w:fldChar w:fldCharType="separate"/>
        </w:r>
        <w:r>
          <w:rPr>
            <w:noProof/>
            <w:webHidden/>
          </w:rPr>
          <w:t>43</w:t>
        </w:r>
        <w:r>
          <w:rPr>
            <w:noProof/>
            <w:webHidden/>
          </w:rPr>
          <w:fldChar w:fldCharType="end"/>
        </w:r>
      </w:hyperlink>
    </w:p>
    <w:p w14:paraId="2D7F93CE" w14:textId="53F76B20"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10" w:history="1">
        <w:r w:rsidRPr="00140601">
          <w:rPr>
            <w:rStyle w:val="Hipervnculo"/>
            <w:rFonts w:ascii="Century Gothic" w:eastAsia="Batang" w:hAnsi="Century Gothic" w:cs="Arial"/>
            <w:noProof/>
          </w:rPr>
          <w:t>8.3</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eastAsia="Batang" w:hAnsi="Century Gothic" w:cs="Arial"/>
            <w:noProof/>
          </w:rPr>
          <w:t>Razón de Cobertura de Interés</w:t>
        </w:r>
        <w:r>
          <w:rPr>
            <w:noProof/>
            <w:webHidden/>
          </w:rPr>
          <w:tab/>
        </w:r>
        <w:r>
          <w:rPr>
            <w:noProof/>
            <w:webHidden/>
          </w:rPr>
          <w:fldChar w:fldCharType="begin"/>
        </w:r>
        <w:r>
          <w:rPr>
            <w:noProof/>
            <w:webHidden/>
          </w:rPr>
          <w:instrText xml:space="preserve"> PAGEREF _Toc232673910 \h </w:instrText>
        </w:r>
        <w:r>
          <w:rPr>
            <w:noProof/>
            <w:webHidden/>
          </w:rPr>
        </w:r>
        <w:r>
          <w:rPr>
            <w:noProof/>
            <w:webHidden/>
          </w:rPr>
          <w:fldChar w:fldCharType="separate"/>
        </w:r>
        <w:r>
          <w:rPr>
            <w:noProof/>
            <w:webHidden/>
          </w:rPr>
          <w:t>44</w:t>
        </w:r>
        <w:r>
          <w:rPr>
            <w:noProof/>
            <w:webHidden/>
          </w:rPr>
          <w:fldChar w:fldCharType="end"/>
        </w:r>
      </w:hyperlink>
    </w:p>
    <w:p w14:paraId="12560707" w14:textId="39DDD451"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11" w:history="1">
        <w:r w:rsidRPr="00140601">
          <w:rPr>
            <w:rStyle w:val="Hipervnculo"/>
            <w:rFonts w:ascii="Century Gothic" w:hAnsi="Century Gothic" w:cs="Arial"/>
            <w:noProof/>
            <w:lang w:val="es-ES" w:eastAsia="es-ES"/>
          </w:rPr>
          <w:t>8.4</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hAnsi="Century Gothic" w:cs="Arial"/>
            <w:noProof/>
            <w:lang w:val="es-ES" w:eastAsia="es-ES"/>
          </w:rPr>
          <w:t>Capacidad Organizacional</w:t>
        </w:r>
        <w:r>
          <w:rPr>
            <w:noProof/>
            <w:webHidden/>
          </w:rPr>
          <w:tab/>
        </w:r>
        <w:r>
          <w:rPr>
            <w:noProof/>
            <w:webHidden/>
          </w:rPr>
          <w:fldChar w:fldCharType="begin"/>
        </w:r>
        <w:r>
          <w:rPr>
            <w:noProof/>
            <w:webHidden/>
          </w:rPr>
          <w:instrText xml:space="preserve"> PAGEREF _Toc232673911 \h </w:instrText>
        </w:r>
        <w:r>
          <w:rPr>
            <w:noProof/>
            <w:webHidden/>
          </w:rPr>
        </w:r>
        <w:r>
          <w:rPr>
            <w:noProof/>
            <w:webHidden/>
          </w:rPr>
          <w:fldChar w:fldCharType="separate"/>
        </w:r>
        <w:r>
          <w:rPr>
            <w:noProof/>
            <w:webHidden/>
          </w:rPr>
          <w:t>44</w:t>
        </w:r>
        <w:r>
          <w:rPr>
            <w:noProof/>
            <w:webHidden/>
          </w:rPr>
          <w:fldChar w:fldCharType="end"/>
        </w:r>
      </w:hyperlink>
    </w:p>
    <w:p w14:paraId="09585793" w14:textId="1C29931A"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12" w:history="1">
        <w:r w:rsidRPr="00140601">
          <w:rPr>
            <w:rStyle w:val="Hipervnculo"/>
            <w:rFonts w:ascii="Century Gothic" w:eastAsia="Batang" w:hAnsi="Century Gothic" w:cs="Arial"/>
            <w:noProof/>
          </w:rPr>
          <w:t>8.5</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eastAsia="Batang" w:hAnsi="Century Gothic" w:cs="Arial"/>
            <w:noProof/>
          </w:rPr>
          <w:t>RENTABILIDAD DEL PATRIMONIO:</w:t>
        </w:r>
        <w:r>
          <w:rPr>
            <w:noProof/>
            <w:webHidden/>
          </w:rPr>
          <w:tab/>
        </w:r>
        <w:r>
          <w:rPr>
            <w:noProof/>
            <w:webHidden/>
          </w:rPr>
          <w:fldChar w:fldCharType="begin"/>
        </w:r>
        <w:r>
          <w:rPr>
            <w:noProof/>
            <w:webHidden/>
          </w:rPr>
          <w:instrText xml:space="preserve"> PAGEREF _Toc232673912 \h </w:instrText>
        </w:r>
        <w:r>
          <w:rPr>
            <w:noProof/>
            <w:webHidden/>
          </w:rPr>
        </w:r>
        <w:r>
          <w:rPr>
            <w:noProof/>
            <w:webHidden/>
          </w:rPr>
          <w:fldChar w:fldCharType="separate"/>
        </w:r>
        <w:r>
          <w:rPr>
            <w:noProof/>
            <w:webHidden/>
          </w:rPr>
          <w:t>45</w:t>
        </w:r>
        <w:r>
          <w:rPr>
            <w:noProof/>
            <w:webHidden/>
          </w:rPr>
          <w:fldChar w:fldCharType="end"/>
        </w:r>
      </w:hyperlink>
    </w:p>
    <w:p w14:paraId="1D244AD4" w14:textId="1589175C"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13" w:history="1">
        <w:r w:rsidRPr="00140601">
          <w:rPr>
            <w:rStyle w:val="Hipervnculo"/>
            <w:rFonts w:ascii="Century Gothic" w:eastAsia="Batang" w:hAnsi="Century Gothic" w:cs="Arial"/>
            <w:noProof/>
          </w:rPr>
          <w:t>8.6</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eastAsia="Batang" w:hAnsi="Century Gothic" w:cs="Arial"/>
            <w:noProof/>
          </w:rPr>
          <w:t>RENTABILIDAD DEL ACTIVO:</w:t>
        </w:r>
        <w:r>
          <w:rPr>
            <w:noProof/>
            <w:webHidden/>
          </w:rPr>
          <w:tab/>
        </w:r>
        <w:r>
          <w:rPr>
            <w:noProof/>
            <w:webHidden/>
          </w:rPr>
          <w:fldChar w:fldCharType="begin"/>
        </w:r>
        <w:r>
          <w:rPr>
            <w:noProof/>
            <w:webHidden/>
          </w:rPr>
          <w:instrText xml:space="preserve"> PAGEREF _Toc232673913 \h </w:instrText>
        </w:r>
        <w:r>
          <w:rPr>
            <w:noProof/>
            <w:webHidden/>
          </w:rPr>
        </w:r>
        <w:r>
          <w:rPr>
            <w:noProof/>
            <w:webHidden/>
          </w:rPr>
          <w:fldChar w:fldCharType="separate"/>
        </w:r>
        <w:r>
          <w:rPr>
            <w:noProof/>
            <w:webHidden/>
          </w:rPr>
          <w:t>46</w:t>
        </w:r>
        <w:r>
          <w:rPr>
            <w:noProof/>
            <w:webHidden/>
          </w:rPr>
          <w:fldChar w:fldCharType="end"/>
        </w:r>
      </w:hyperlink>
    </w:p>
    <w:p w14:paraId="14576D7D" w14:textId="699D3CB2" w:rsidR="00564F61" w:rsidRDefault="00564F61">
      <w:pPr>
        <w:pStyle w:val="TDC3"/>
        <w:rPr>
          <w:rFonts w:asciiTheme="minorHAnsi" w:eastAsiaTheme="minorEastAsia" w:hAnsiTheme="minorHAnsi" w:cstheme="minorBidi"/>
          <w:noProof/>
          <w:sz w:val="24"/>
          <w:szCs w:val="24"/>
          <w:lang w:eastAsia="es-CO"/>
          <w14:ligatures w14:val="standardContextual"/>
        </w:rPr>
      </w:pPr>
      <w:hyperlink w:anchor="_Toc232673914" w:history="1">
        <w:r w:rsidRPr="00140601">
          <w:rPr>
            <w:rStyle w:val="Hipervnculo"/>
            <w:rFonts w:ascii="Century Gothic" w:eastAsia="Batang" w:hAnsi="Century Gothic" w:cs="Arial"/>
            <w:noProof/>
          </w:rPr>
          <w:t>8.7</w:t>
        </w:r>
        <w:r>
          <w:rPr>
            <w:rFonts w:asciiTheme="minorHAnsi" w:eastAsiaTheme="minorEastAsia" w:hAnsiTheme="minorHAnsi" w:cstheme="minorBidi"/>
            <w:noProof/>
            <w:sz w:val="24"/>
            <w:szCs w:val="24"/>
            <w:lang w:eastAsia="es-CO"/>
            <w14:ligatures w14:val="standardContextual"/>
          </w:rPr>
          <w:tab/>
        </w:r>
        <w:r w:rsidRPr="00140601">
          <w:rPr>
            <w:rStyle w:val="Hipervnculo"/>
            <w:rFonts w:ascii="Century Gothic" w:eastAsia="Batang" w:hAnsi="Century Gothic" w:cs="Arial"/>
            <w:noProof/>
          </w:rPr>
          <w:t>Indicadores Para Capacidad Financiera Y Organizacional A Requerir Para Esta Contratación.</w:t>
        </w:r>
        <w:r>
          <w:rPr>
            <w:noProof/>
            <w:webHidden/>
          </w:rPr>
          <w:tab/>
        </w:r>
        <w:r>
          <w:rPr>
            <w:noProof/>
            <w:webHidden/>
          </w:rPr>
          <w:fldChar w:fldCharType="begin"/>
        </w:r>
        <w:r>
          <w:rPr>
            <w:noProof/>
            <w:webHidden/>
          </w:rPr>
          <w:instrText xml:space="preserve"> PAGEREF _Toc232673914 \h </w:instrText>
        </w:r>
        <w:r>
          <w:rPr>
            <w:noProof/>
            <w:webHidden/>
          </w:rPr>
        </w:r>
        <w:r>
          <w:rPr>
            <w:noProof/>
            <w:webHidden/>
          </w:rPr>
          <w:fldChar w:fldCharType="separate"/>
        </w:r>
        <w:r>
          <w:rPr>
            <w:noProof/>
            <w:webHidden/>
          </w:rPr>
          <w:t>46</w:t>
        </w:r>
        <w:r>
          <w:rPr>
            <w:noProof/>
            <w:webHidden/>
          </w:rPr>
          <w:fldChar w:fldCharType="end"/>
        </w:r>
      </w:hyperlink>
    </w:p>
    <w:p w14:paraId="791014A8" w14:textId="375E4B4B" w:rsidR="00564F61" w:rsidRDefault="00564F61" w:rsidP="00564F61">
      <w:pPr>
        <w:pStyle w:val="TDC1"/>
        <w:rPr>
          <w:rFonts w:asciiTheme="minorHAnsi" w:eastAsiaTheme="minorEastAsia" w:hAnsiTheme="minorHAnsi" w:cstheme="minorBidi"/>
          <w:noProof/>
          <w:sz w:val="24"/>
          <w:szCs w:val="24"/>
          <w:lang w:eastAsia="es-CO"/>
          <w14:ligatures w14:val="standardContextual"/>
        </w:rPr>
      </w:pPr>
      <w:hyperlink w:anchor="_Toc232673915" w:history="1">
        <w:r w:rsidRPr="00140601">
          <w:rPr>
            <w:rStyle w:val="Hipervnculo"/>
            <w:rFonts w:ascii="Century Gothic" w:hAnsi="Century Gothic" w:cs="Arial"/>
            <w:noProof/>
          </w:rPr>
          <w:t>REFERENCIAS</w:t>
        </w:r>
        <w:r>
          <w:rPr>
            <w:noProof/>
            <w:webHidden/>
          </w:rPr>
          <w:tab/>
        </w:r>
        <w:r>
          <w:rPr>
            <w:noProof/>
            <w:webHidden/>
          </w:rPr>
          <w:fldChar w:fldCharType="begin"/>
        </w:r>
        <w:r>
          <w:rPr>
            <w:noProof/>
            <w:webHidden/>
          </w:rPr>
          <w:instrText xml:space="preserve"> PAGEREF _Toc232673915 \h </w:instrText>
        </w:r>
        <w:r>
          <w:rPr>
            <w:noProof/>
            <w:webHidden/>
          </w:rPr>
        </w:r>
        <w:r>
          <w:rPr>
            <w:noProof/>
            <w:webHidden/>
          </w:rPr>
          <w:fldChar w:fldCharType="separate"/>
        </w:r>
        <w:r>
          <w:rPr>
            <w:noProof/>
            <w:webHidden/>
          </w:rPr>
          <w:t>48</w:t>
        </w:r>
        <w:r>
          <w:rPr>
            <w:noProof/>
            <w:webHidden/>
          </w:rPr>
          <w:fldChar w:fldCharType="end"/>
        </w:r>
      </w:hyperlink>
    </w:p>
    <w:p w14:paraId="0B8F7231" w14:textId="78F57B15" w:rsidR="005D79F7" w:rsidRPr="00FA7341" w:rsidRDefault="005D79F7" w:rsidP="007369E7">
      <w:pPr>
        <w:spacing w:after="0" w:line="240" w:lineRule="auto"/>
        <w:rPr>
          <w:rFonts w:ascii="Century Gothic" w:hAnsi="Century Gothic" w:cs="Arial"/>
        </w:rPr>
      </w:pPr>
      <w:r w:rsidRPr="00FA7341">
        <w:rPr>
          <w:rFonts w:ascii="Century Gothic" w:hAnsi="Century Gothic" w:cs="Arial"/>
          <w:b/>
          <w:bCs/>
        </w:rPr>
        <w:fldChar w:fldCharType="end"/>
      </w:r>
    </w:p>
    <w:p w14:paraId="191C797A" w14:textId="77777777" w:rsidR="005D79F7" w:rsidRPr="00FA7341" w:rsidRDefault="005D79F7" w:rsidP="007369E7">
      <w:pPr>
        <w:pStyle w:val="1"/>
        <w:spacing w:before="0"/>
        <w:rPr>
          <w:rFonts w:ascii="Century Gothic" w:hAnsi="Century Gothic" w:cs="Arial"/>
          <w:sz w:val="22"/>
          <w:szCs w:val="22"/>
        </w:rPr>
      </w:pPr>
      <w:r w:rsidRPr="00FA7341">
        <w:rPr>
          <w:rFonts w:ascii="Century Gothic" w:hAnsi="Century Gothic" w:cs="Arial"/>
          <w:sz w:val="22"/>
          <w:szCs w:val="22"/>
        </w:rPr>
        <w:t xml:space="preserve">LISTADO DE GRÁFICAS </w:t>
      </w:r>
    </w:p>
    <w:p w14:paraId="746CEF38" w14:textId="77777777" w:rsidR="005D79F7" w:rsidRPr="00FA7341" w:rsidRDefault="005D79F7" w:rsidP="007369E7">
      <w:pPr>
        <w:pStyle w:val="Tabladeilustraciones"/>
        <w:tabs>
          <w:tab w:val="right" w:leader="dot" w:pos="8789"/>
        </w:tabs>
        <w:spacing w:after="0" w:line="240" w:lineRule="auto"/>
        <w:rPr>
          <w:rFonts w:ascii="Century Gothic" w:hAnsi="Century Gothic" w:cs="Arial"/>
          <w:b/>
          <w:bCs/>
        </w:rPr>
      </w:pPr>
    </w:p>
    <w:p w14:paraId="269CBB14" w14:textId="737A6805" w:rsidR="004229D7" w:rsidRPr="00FA7341" w:rsidRDefault="005D79F7">
      <w:pPr>
        <w:pStyle w:val="Tabladeilustraciones"/>
        <w:tabs>
          <w:tab w:val="right" w:leader="dot" w:pos="8828"/>
        </w:tabs>
        <w:rPr>
          <w:rFonts w:ascii="Century Gothic" w:eastAsiaTheme="minorEastAsia" w:hAnsi="Century Gothic" w:cstheme="minorBidi"/>
          <w:noProof/>
          <w:lang w:eastAsia="es-CO"/>
          <w14:ligatures w14:val="standardContextual"/>
        </w:rPr>
      </w:pPr>
      <w:r w:rsidRPr="00FA7341">
        <w:rPr>
          <w:rStyle w:val="Hipervnculo"/>
          <w:rFonts w:ascii="Century Gothic" w:hAnsi="Century Gothic" w:cs="Arial"/>
          <w:noProof/>
          <w:color w:val="000000"/>
        </w:rPr>
        <w:fldChar w:fldCharType="begin"/>
      </w:r>
      <w:r w:rsidRPr="00FA7341">
        <w:rPr>
          <w:rStyle w:val="Hipervnculo"/>
          <w:rFonts w:ascii="Century Gothic" w:hAnsi="Century Gothic" w:cs="Arial"/>
          <w:noProof/>
          <w:color w:val="000000"/>
        </w:rPr>
        <w:instrText xml:space="preserve"> TOC \h \z \c "Gráfico" </w:instrText>
      </w:r>
      <w:r w:rsidRPr="00FA7341">
        <w:rPr>
          <w:rStyle w:val="Hipervnculo"/>
          <w:rFonts w:ascii="Century Gothic" w:hAnsi="Century Gothic" w:cs="Arial"/>
          <w:noProof/>
          <w:color w:val="000000"/>
        </w:rPr>
        <w:fldChar w:fldCharType="separate"/>
      </w:r>
      <w:hyperlink w:anchor="_Toc226395606" w:history="1">
        <w:r w:rsidR="004229D7" w:rsidRPr="00FA7341">
          <w:rPr>
            <w:rStyle w:val="Hipervnculo"/>
            <w:rFonts w:ascii="Century Gothic" w:hAnsi="Century Gothic" w:cs="Arial"/>
            <w:noProof/>
          </w:rPr>
          <w:t>Gráfico 1 PIB (Producción)</w:t>
        </w:r>
        <w:r w:rsidR="004229D7" w:rsidRPr="00FA7341">
          <w:rPr>
            <w:rFonts w:ascii="Century Gothic" w:hAnsi="Century Gothic"/>
            <w:noProof/>
            <w:webHidden/>
          </w:rPr>
          <w:tab/>
        </w:r>
        <w:r w:rsidR="004229D7" w:rsidRPr="00FA7341">
          <w:rPr>
            <w:rFonts w:ascii="Century Gothic" w:hAnsi="Century Gothic"/>
            <w:noProof/>
            <w:webHidden/>
          </w:rPr>
          <w:fldChar w:fldCharType="begin"/>
        </w:r>
        <w:r w:rsidR="004229D7" w:rsidRPr="00FA7341">
          <w:rPr>
            <w:rFonts w:ascii="Century Gothic" w:hAnsi="Century Gothic"/>
            <w:noProof/>
            <w:webHidden/>
          </w:rPr>
          <w:instrText xml:space="preserve"> PAGEREF _Toc226395606 \h </w:instrText>
        </w:r>
        <w:r w:rsidR="004229D7" w:rsidRPr="00FA7341">
          <w:rPr>
            <w:rFonts w:ascii="Century Gothic" w:hAnsi="Century Gothic"/>
            <w:noProof/>
            <w:webHidden/>
          </w:rPr>
        </w:r>
        <w:r w:rsidR="004229D7" w:rsidRPr="00FA7341">
          <w:rPr>
            <w:rFonts w:ascii="Century Gothic" w:hAnsi="Century Gothic"/>
            <w:noProof/>
            <w:webHidden/>
          </w:rPr>
          <w:fldChar w:fldCharType="separate"/>
        </w:r>
        <w:r w:rsidR="004229D7" w:rsidRPr="00FA7341">
          <w:rPr>
            <w:rFonts w:ascii="Century Gothic" w:hAnsi="Century Gothic"/>
            <w:noProof/>
            <w:webHidden/>
          </w:rPr>
          <w:t>13</w:t>
        </w:r>
        <w:r w:rsidR="004229D7" w:rsidRPr="00FA7341">
          <w:rPr>
            <w:rFonts w:ascii="Century Gothic" w:hAnsi="Century Gothic"/>
            <w:noProof/>
            <w:webHidden/>
          </w:rPr>
          <w:fldChar w:fldCharType="end"/>
        </w:r>
      </w:hyperlink>
    </w:p>
    <w:p w14:paraId="65C1BE10" w14:textId="7CB84472"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07" w:history="1">
        <w:r w:rsidRPr="00FA7341">
          <w:rPr>
            <w:rStyle w:val="Hipervnculo"/>
            <w:rFonts w:ascii="Century Gothic" w:hAnsi="Century Gothic" w:cs="Arial"/>
            <w:noProof/>
          </w:rPr>
          <w:t>Gráfico 2 Salario Mínimo Legal Vigente</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_Toc226395607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17</w:t>
        </w:r>
        <w:r w:rsidRPr="00FA7341">
          <w:rPr>
            <w:rFonts w:ascii="Century Gothic" w:hAnsi="Century Gothic"/>
            <w:noProof/>
            <w:webHidden/>
          </w:rPr>
          <w:fldChar w:fldCharType="end"/>
        </w:r>
      </w:hyperlink>
    </w:p>
    <w:p w14:paraId="54A556CF" w14:textId="0BD410AD"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08" w:history="1">
        <w:r w:rsidRPr="00FA7341">
          <w:rPr>
            <w:rStyle w:val="Hipervnculo"/>
            <w:rFonts w:ascii="Century Gothic" w:hAnsi="Century Gothic" w:cs="Arial"/>
            <w:noProof/>
          </w:rPr>
          <w:t>Gráfico 3 Cantidad de contratos mensuales</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_Toc226395608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29</w:t>
        </w:r>
        <w:r w:rsidRPr="00FA7341">
          <w:rPr>
            <w:rFonts w:ascii="Century Gothic" w:hAnsi="Century Gothic"/>
            <w:noProof/>
            <w:webHidden/>
          </w:rPr>
          <w:fldChar w:fldCharType="end"/>
        </w:r>
      </w:hyperlink>
    </w:p>
    <w:p w14:paraId="66002BB9" w14:textId="5C276465"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09" w:history="1">
        <w:r w:rsidRPr="00FA7341">
          <w:rPr>
            <w:rStyle w:val="Hipervnculo"/>
            <w:rFonts w:ascii="Century Gothic" w:hAnsi="Century Gothic" w:cs="Arial"/>
            <w:b/>
            <w:bCs/>
            <w:noProof/>
          </w:rPr>
          <w:t>Gráfico 4 Modalidad de contratación</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_Toc226395609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29</w:t>
        </w:r>
        <w:r w:rsidRPr="00FA7341">
          <w:rPr>
            <w:rFonts w:ascii="Century Gothic" w:hAnsi="Century Gothic"/>
            <w:noProof/>
            <w:webHidden/>
          </w:rPr>
          <w:fldChar w:fldCharType="end"/>
        </w:r>
      </w:hyperlink>
    </w:p>
    <w:p w14:paraId="2F9A40F5" w14:textId="48CB4693"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10" w:history="1">
        <w:r w:rsidRPr="00FA7341">
          <w:rPr>
            <w:rStyle w:val="Hipervnculo"/>
            <w:rFonts w:ascii="Century Gothic" w:hAnsi="Century Gothic" w:cs="Arial"/>
            <w:noProof/>
          </w:rPr>
          <w:t>Gráfico 5 Cantidad de contratos por proveedores plurales</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_Toc226395610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30</w:t>
        </w:r>
        <w:r w:rsidRPr="00FA7341">
          <w:rPr>
            <w:rFonts w:ascii="Century Gothic" w:hAnsi="Century Gothic"/>
            <w:noProof/>
            <w:webHidden/>
          </w:rPr>
          <w:fldChar w:fldCharType="end"/>
        </w:r>
      </w:hyperlink>
    </w:p>
    <w:p w14:paraId="4BBACE4C" w14:textId="2D8376B5"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11" w:history="1">
        <w:r w:rsidRPr="00FA7341">
          <w:rPr>
            <w:rStyle w:val="Hipervnculo"/>
            <w:rFonts w:ascii="Century Gothic" w:hAnsi="Century Gothic" w:cs="Arial"/>
            <w:b/>
            <w:bCs/>
            <w:noProof/>
          </w:rPr>
          <w:t>Gráfico 6 Cantidad de contratos – Anual</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_Toc226395611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30</w:t>
        </w:r>
        <w:r w:rsidRPr="00FA7341">
          <w:rPr>
            <w:rFonts w:ascii="Century Gothic" w:hAnsi="Century Gothic"/>
            <w:noProof/>
            <w:webHidden/>
          </w:rPr>
          <w:fldChar w:fldCharType="end"/>
        </w:r>
      </w:hyperlink>
    </w:p>
    <w:p w14:paraId="58890489" w14:textId="47FB32DC"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12" w:history="1">
        <w:r w:rsidRPr="00FA7341">
          <w:rPr>
            <w:rStyle w:val="Hipervnculo"/>
            <w:rFonts w:ascii="Century Gothic" w:hAnsi="Century Gothic" w:cs="Arial"/>
            <w:noProof/>
          </w:rPr>
          <w:t>Gráfico 7 Gasto anual – mensual</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_Toc226395612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31</w:t>
        </w:r>
        <w:r w:rsidRPr="00FA7341">
          <w:rPr>
            <w:rFonts w:ascii="Century Gothic" w:hAnsi="Century Gothic"/>
            <w:noProof/>
            <w:webHidden/>
          </w:rPr>
          <w:fldChar w:fldCharType="end"/>
        </w:r>
      </w:hyperlink>
    </w:p>
    <w:p w14:paraId="1B7FEE30" w14:textId="7776F938"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13" w:history="1">
        <w:r w:rsidRPr="00FA7341">
          <w:rPr>
            <w:rStyle w:val="Hipervnculo"/>
            <w:rFonts w:ascii="Century Gothic" w:hAnsi="Century Gothic" w:cs="Arial"/>
            <w:noProof/>
          </w:rPr>
          <w:t>Gráfico 8 Cantidad de contratos anual - Mensual</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_Toc226395613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32</w:t>
        </w:r>
        <w:r w:rsidRPr="00FA7341">
          <w:rPr>
            <w:rFonts w:ascii="Century Gothic" w:hAnsi="Century Gothic"/>
            <w:noProof/>
            <w:webHidden/>
          </w:rPr>
          <w:fldChar w:fldCharType="end"/>
        </w:r>
      </w:hyperlink>
    </w:p>
    <w:p w14:paraId="15E168ED" w14:textId="3D95D8CC" w:rsidR="004229D7" w:rsidRPr="00FA7341" w:rsidRDefault="004229D7">
      <w:pPr>
        <w:pStyle w:val="Tabladeilustraciones"/>
        <w:tabs>
          <w:tab w:val="right" w:leader="dot" w:pos="8828"/>
        </w:tabs>
        <w:rPr>
          <w:rFonts w:ascii="Century Gothic" w:eastAsiaTheme="minorEastAsia" w:hAnsi="Century Gothic" w:cstheme="minorBidi"/>
          <w:noProof/>
          <w:lang w:eastAsia="es-CO"/>
          <w14:ligatures w14:val="standardContextual"/>
        </w:rPr>
      </w:pPr>
      <w:hyperlink w:anchor="_Toc226395614" w:history="1">
        <w:r w:rsidRPr="00FA7341">
          <w:rPr>
            <w:rStyle w:val="Hipervnculo"/>
            <w:rFonts w:ascii="Century Gothic" w:hAnsi="Century Gothic" w:cs="Arial"/>
            <w:noProof/>
          </w:rPr>
          <w:t>Gráfico 9 Valor total por familia</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_Toc226395614 \h </w:instrText>
        </w:r>
        <w:r w:rsidRPr="00FA7341">
          <w:rPr>
            <w:rFonts w:ascii="Century Gothic" w:hAnsi="Century Gothic"/>
            <w:noProof/>
            <w:webHidden/>
          </w:rPr>
        </w:r>
        <w:r w:rsidRPr="00FA7341">
          <w:rPr>
            <w:rFonts w:ascii="Century Gothic" w:hAnsi="Century Gothic"/>
            <w:noProof/>
            <w:webHidden/>
          </w:rPr>
          <w:fldChar w:fldCharType="separate"/>
        </w:r>
        <w:r w:rsidRPr="00FA7341">
          <w:rPr>
            <w:rFonts w:ascii="Century Gothic" w:hAnsi="Century Gothic"/>
            <w:noProof/>
            <w:webHidden/>
          </w:rPr>
          <w:t>32</w:t>
        </w:r>
        <w:r w:rsidRPr="00FA7341">
          <w:rPr>
            <w:rFonts w:ascii="Century Gothic" w:hAnsi="Century Gothic"/>
            <w:noProof/>
            <w:webHidden/>
          </w:rPr>
          <w:fldChar w:fldCharType="end"/>
        </w:r>
      </w:hyperlink>
    </w:p>
    <w:p w14:paraId="18D64639" w14:textId="03831C80" w:rsidR="005D79F7" w:rsidRPr="00FA7341" w:rsidRDefault="005D79F7" w:rsidP="007369E7">
      <w:pPr>
        <w:pStyle w:val="Tabladeilustraciones"/>
        <w:tabs>
          <w:tab w:val="right" w:leader="dot" w:pos="8789"/>
        </w:tabs>
        <w:spacing w:after="0" w:line="240" w:lineRule="auto"/>
        <w:rPr>
          <w:rStyle w:val="Hipervnculo"/>
          <w:rFonts w:ascii="Century Gothic" w:hAnsi="Century Gothic" w:cs="Arial"/>
          <w:noProof/>
          <w:color w:val="000000"/>
        </w:rPr>
      </w:pPr>
      <w:r w:rsidRPr="00FA7341">
        <w:rPr>
          <w:rStyle w:val="Hipervnculo"/>
          <w:rFonts w:ascii="Century Gothic" w:hAnsi="Century Gothic" w:cs="Arial"/>
          <w:noProof/>
          <w:color w:val="000000"/>
        </w:rPr>
        <w:fldChar w:fldCharType="end"/>
      </w:r>
    </w:p>
    <w:p w14:paraId="6F50C49B" w14:textId="77777777" w:rsidR="005D79F7" w:rsidRPr="00FA7341" w:rsidRDefault="005D79F7" w:rsidP="007369E7">
      <w:pPr>
        <w:pStyle w:val="Tabladeilustraciones"/>
        <w:tabs>
          <w:tab w:val="right" w:leader="dot" w:pos="8789"/>
        </w:tabs>
        <w:spacing w:after="0" w:line="240" w:lineRule="auto"/>
        <w:rPr>
          <w:rFonts w:ascii="Century Gothic" w:hAnsi="Century Gothic" w:cs="Arial"/>
          <w:b/>
          <w:bCs/>
          <w:color w:val="002060"/>
        </w:rPr>
      </w:pPr>
      <w:r w:rsidRPr="00FA7341">
        <w:rPr>
          <w:rFonts w:ascii="Century Gothic" w:hAnsi="Century Gothic" w:cs="Arial"/>
          <w:color w:val="002060"/>
        </w:rPr>
        <w:t>LISTADO DE TABLAS</w:t>
      </w:r>
      <w:r w:rsidRPr="00FA7341">
        <w:rPr>
          <w:rFonts w:ascii="Century Gothic" w:hAnsi="Century Gothic" w:cs="Arial"/>
          <w:b/>
          <w:bCs/>
          <w:color w:val="002060"/>
        </w:rPr>
        <w:t xml:space="preserve"> </w:t>
      </w:r>
    </w:p>
    <w:p w14:paraId="08936E97" w14:textId="77777777" w:rsidR="005D79F7" w:rsidRPr="00FA7341" w:rsidRDefault="005D79F7" w:rsidP="007369E7">
      <w:pPr>
        <w:spacing w:after="0"/>
        <w:rPr>
          <w:rFonts w:ascii="Century Gothic" w:hAnsi="Century Gothic" w:cs="Arial"/>
          <w:lang w:eastAsia="es-CO"/>
        </w:rPr>
      </w:pPr>
    </w:p>
    <w:p w14:paraId="208D8927" w14:textId="79EF0C32" w:rsidR="00A60B47" w:rsidRPr="00FA7341" w:rsidRDefault="005D79F7" w:rsidP="007369E7">
      <w:pPr>
        <w:pStyle w:val="Tabladeilustraciones"/>
        <w:tabs>
          <w:tab w:val="right" w:leader="dot" w:pos="8828"/>
        </w:tabs>
        <w:spacing w:after="0"/>
        <w:rPr>
          <w:rFonts w:ascii="Century Gothic" w:eastAsiaTheme="minorEastAsia" w:hAnsi="Century Gothic" w:cstheme="minorBidi"/>
          <w:noProof/>
          <w:kern w:val="0"/>
          <w:lang w:eastAsia="es-CO"/>
        </w:rPr>
      </w:pPr>
      <w:r w:rsidRPr="00FA7341">
        <w:rPr>
          <w:rStyle w:val="Hipervnculo"/>
          <w:rFonts w:ascii="Century Gothic" w:hAnsi="Century Gothic" w:cs="Arial"/>
          <w:noProof/>
        </w:rPr>
        <w:fldChar w:fldCharType="begin"/>
      </w:r>
      <w:r w:rsidRPr="00FA7341">
        <w:rPr>
          <w:rStyle w:val="Hipervnculo"/>
          <w:rFonts w:ascii="Century Gothic" w:hAnsi="Century Gothic" w:cs="Arial"/>
          <w:noProof/>
        </w:rPr>
        <w:instrText xml:space="preserve"> TOC \h \z \c "Tabla" </w:instrText>
      </w:r>
      <w:r w:rsidRPr="00FA7341">
        <w:rPr>
          <w:rStyle w:val="Hipervnculo"/>
          <w:rFonts w:ascii="Century Gothic" w:hAnsi="Century Gothic" w:cs="Arial"/>
          <w:noProof/>
        </w:rPr>
        <w:fldChar w:fldCharType="separate"/>
      </w:r>
      <w:hyperlink w:anchor="_Toc192773257" w:history="1">
        <w:r w:rsidR="00A60B47" w:rsidRPr="00FA7341">
          <w:rPr>
            <w:rStyle w:val="Hipervnculo"/>
            <w:rFonts w:ascii="Century Gothic" w:hAnsi="Century Gothic" w:cs="Arial"/>
            <w:noProof/>
          </w:rPr>
          <w:t>Tabla 1 Clasificador de Bienes y Servicios de las Naciones Unidas</w:t>
        </w:r>
        <w:r w:rsidR="00A60B47" w:rsidRPr="00FA7341">
          <w:rPr>
            <w:rFonts w:ascii="Century Gothic" w:hAnsi="Century Gothic"/>
            <w:noProof/>
            <w:webHidden/>
          </w:rPr>
          <w:tab/>
        </w:r>
        <w:r w:rsidR="00A60B47" w:rsidRPr="00FA7341">
          <w:rPr>
            <w:rFonts w:ascii="Century Gothic" w:hAnsi="Century Gothic"/>
            <w:noProof/>
            <w:webHidden/>
          </w:rPr>
          <w:fldChar w:fldCharType="begin"/>
        </w:r>
        <w:r w:rsidR="00A60B47" w:rsidRPr="00FA7341">
          <w:rPr>
            <w:rFonts w:ascii="Century Gothic" w:hAnsi="Century Gothic"/>
            <w:noProof/>
            <w:webHidden/>
          </w:rPr>
          <w:instrText xml:space="preserve"> PAGEREF _Toc192773257 \h </w:instrText>
        </w:r>
        <w:r w:rsidR="00A60B47" w:rsidRPr="00FA7341">
          <w:rPr>
            <w:rFonts w:ascii="Century Gothic" w:hAnsi="Century Gothic"/>
            <w:noProof/>
            <w:webHidden/>
          </w:rPr>
        </w:r>
        <w:r w:rsidR="00A60B47" w:rsidRPr="00FA7341">
          <w:rPr>
            <w:rFonts w:ascii="Century Gothic" w:hAnsi="Century Gothic"/>
            <w:noProof/>
            <w:webHidden/>
          </w:rPr>
          <w:fldChar w:fldCharType="separate"/>
        </w:r>
        <w:r w:rsidR="00030ED5" w:rsidRPr="00FA7341">
          <w:rPr>
            <w:rFonts w:ascii="Century Gothic" w:hAnsi="Century Gothic"/>
            <w:noProof/>
            <w:webHidden/>
          </w:rPr>
          <w:t>11</w:t>
        </w:r>
        <w:r w:rsidR="00A60B47" w:rsidRPr="00FA7341">
          <w:rPr>
            <w:rFonts w:ascii="Century Gothic" w:hAnsi="Century Gothic"/>
            <w:noProof/>
            <w:webHidden/>
          </w:rPr>
          <w:fldChar w:fldCharType="end"/>
        </w:r>
      </w:hyperlink>
    </w:p>
    <w:p w14:paraId="70D3713C" w14:textId="25DEDBBA"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58" w:history="1">
        <w:r w:rsidRPr="00FA7341">
          <w:rPr>
            <w:rStyle w:val="Hipervnculo"/>
            <w:rFonts w:ascii="Century Gothic" w:hAnsi="Century Gothic" w:cs="Arial"/>
            <w:noProof/>
          </w:rPr>
          <w:t>Tabla 2 Valor agregado por actividad económica</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_Toc192773258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13</w:t>
        </w:r>
        <w:r w:rsidRPr="00FA7341">
          <w:rPr>
            <w:rFonts w:ascii="Century Gothic" w:hAnsi="Century Gothic"/>
            <w:noProof/>
            <w:webHidden/>
          </w:rPr>
          <w:fldChar w:fldCharType="end"/>
        </w:r>
      </w:hyperlink>
    </w:p>
    <w:p w14:paraId="7AAC035A" w14:textId="2982FE4C"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59" w:history="1">
        <w:r w:rsidRPr="00FA7341">
          <w:rPr>
            <w:rStyle w:val="Hipervnculo"/>
            <w:rFonts w:ascii="Century Gothic" w:hAnsi="Century Gothic" w:cs="Arial"/>
            <w:noProof/>
          </w:rPr>
          <w:t>Tabla 3 Histórico Salario Mínimo en Colombia</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_Toc192773259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17</w:t>
        </w:r>
        <w:r w:rsidRPr="00FA7341">
          <w:rPr>
            <w:rFonts w:ascii="Century Gothic" w:hAnsi="Century Gothic"/>
            <w:noProof/>
            <w:webHidden/>
          </w:rPr>
          <w:fldChar w:fldCharType="end"/>
        </w:r>
      </w:hyperlink>
    </w:p>
    <w:p w14:paraId="34099DF0" w14:textId="59207E0E"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60" w:history="1">
        <w:r w:rsidRPr="00FA7341">
          <w:rPr>
            <w:rStyle w:val="Hipervnculo"/>
            <w:rFonts w:ascii="Century Gothic" w:hAnsi="Century Gothic" w:cs="Arial"/>
            <w:noProof/>
          </w:rPr>
          <w:t>Tabla 4 Clasificación del tamaño empresarial</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_Toc192773260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20</w:t>
        </w:r>
        <w:r w:rsidRPr="00FA7341">
          <w:rPr>
            <w:rFonts w:ascii="Century Gothic" w:hAnsi="Century Gothic"/>
            <w:noProof/>
            <w:webHidden/>
          </w:rPr>
          <w:fldChar w:fldCharType="end"/>
        </w:r>
      </w:hyperlink>
    </w:p>
    <w:p w14:paraId="6FFCDEF8" w14:textId="228E9CB3"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61" w:history="1">
        <w:r w:rsidRPr="00FA7341">
          <w:rPr>
            <w:rStyle w:val="Hipervnculo"/>
            <w:rFonts w:ascii="Century Gothic" w:hAnsi="Century Gothic" w:cs="Arial"/>
            <w:noProof/>
          </w:rPr>
          <w:t>Tabla 5 Contratos relacionados suscritos por el Departamento de Cundinamarca</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_Toc192773261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27</w:t>
        </w:r>
        <w:r w:rsidRPr="00FA7341">
          <w:rPr>
            <w:rFonts w:ascii="Century Gothic" w:hAnsi="Century Gothic"/>
            <w:noProof/>
            <w:webHidden/>
          </w:rPr>
          <w:fldChar w:fldCharType="end"/>
        </w:r>
      </w:hyperlink>
    </w:p>
    <w:p w14:paraId="5302C7AE" w14:textId="2A2A5AFF"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62" w:history="1">
        <w:r w:rsidRPr="00FA7341">
          <w:rPr>
            <w:rStyle w:val="Hipervnculo"/>
            <w:rFonts w:ascii="Century Gothic" w:hAnsi="Century Gothic" w:cs="Arial"/>
            <w:noProof/>
          </w:rPr>
          <w:t>Tabla 6 Procesos de contratación adelantados por entidades nacionales</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_Toc192773262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28</w:t>
        </w:r>
        <w:r w:rsidRPr="00FA7341">
          <w:rPr>
            <w:rFonts w:ascii="Century Gothic" w:hAnsi="Century Gothic"/>
            <w:noProof/>
            <w:webHidden/>
          </w:rPr>
          <w:fldChar w:fldCharType="end"/>
        </w:r>
      </w:hyperlink>
    </w:p>
    <w:p w14:paraId="2CB33428" w14:textId="13F5B411"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63" w:history="1">
        <w:r w:rsidRPr="00FA7341">
          <w:rPr>
            <w:rStyle w:val="Hipervnculo"/>
            <w:rFonts w:ascii="Century Gothic" w:hAnsi="Century Gothic" w:cs="Arial"/>
            <w:noProof/>
          </w:rPr>
          <w:t>Tabla 7 Estadísticas descriptivas</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_Toc192773263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55</w:t>
        </w:r>
        <w:r w:rsidRPr="00FA7341">
          <w:rPr>
            <w:rFonts w:ascii="Century Gothic" w:hAnsi="Century Gothic"/>
            <w:noProof/>
            <w:webHidden/>
          </w:rPr>
          <w:fldChar w:fldCharType="end"/>
        </w:r>
      </w:hyperlink>
    </w:p>
    <w:p w14:paraId="71E4A31E" w14:textId="1475A5B3" w:rsidR="00A60B47" w:rsidRPr="00FA7341" w:rsidRDefault="00A60B47" w:rsidP="007369E7">
      <w:pPr>
        <w:pStyle w:val="Tabladeilustraciones"/>
        <w:tabs>
          <w:tab w:val="right" w:leader="dot" w:pos="8828"/>
        </w:tabs>
        <w:spacing w:after="0"/>
        <w:rPr>
          <w:rFonts w:ascii="Century Gothic" w:eastAsiaTheme="minorEastAsia" w:hAnsi="Century Gothic" w:cstheme="minorBidi"/>
          <w:noProof/>
          <w:kern w:val="0"/>
          <w:lang w:eastAsia="es-CO"/>
        </w:rPr>
      </w:pPr>
      <w:hyperlink w:anchor="_Toc192773264" w:history="1">
        <w:r w:rsidRPr="00FA7341">
          <w:rPr>
            <w:rStyle w:val="Hipervnculo"/>
            <w:rFonts w:ascii="Century Gothic" w:hAnsi="Century Gothic" w:cs="Arial"/>
            <w:noProof/>
          </w:rPr>
          <w:t>Tabla 8 Indicadores financieros y organizacionales a exigir</w:t>
        </w:r>
        <w:r w:rsidRPr="00FA7341">
          <w:rPr>
            <w:rFonts w:ascii="Century Gothic" w:hAnsi="Century Gothic"/>
            <w:noProof/>
            <w:webHidden/>
          </w:rPr>
          <w:tab/>
        </w:r>
        <w:r w:rsidRPr="00FA7341">
          <w:rPr>
            <w:rFonts w:ascii="Century Gothic" w:hAnsi="Century Gothic"/>
            <w:noProof/>
            <w:webHidden/>
          </w:rPr>
          <w:fldChar w:fldCharType="begin"/>
        </w:r>
        <w:r w:rsidRPr="00FA7341">
          <w:rPr>
            <w:rFonts w:ascii="Century Gothic" w:hAnsi="Century Gothic"/>
            <w:noProof/>
            <w:webHidden/>
          </w:rPr>
          <w:instrText xml:space="preserve"> PAGEREF _Toc192773264 \h </w:instrText>
        </w:r>
        <w:r w:rsidRPr="00FA7341">
          <w:rPr>
            <w:rFonts w:ascii="Century Gothic" w:hAnsi="Century Gothic"/>
            <w:noProof/>
            <w:webHidden/>
          </w:rPr>
        </w:r>
        <w:r w:rsidRPr="00FA7341">
          <w:rPr>
            <w:rFonts w:ascii="Century Gothic" w:hAnsi="Century Gothic"/>
            <w:noProof/>
            <w:webHidden/>
          </w:rPr>
          <w:fldChar w:fldCharType="separate"/>
        </w:r>
        <w:r w:rsidR="00030ED5" w:rsidRPr="00FA7341">
          <w:rPr>
            <w:rFonts w:ascii="Century Gothic" w:hAnsi="Century Gothic"/>
            <w:noProof/>
            <w:webHidden/>
          </w:rPr>
          <w:t>60</w:t>
        </w:r>
        <w:r w:rsidRPr="00FA7341">
          <w:rPr>
            <w:rFonts w:ascii="Century Gothic" w:hAnsi="Century Gothic"/>
            <w:noProof/>
            <w:webHidden/>
          </w:rPr>
          <w:fldChar w:fldCharType="end"/>
        </w:r>
      </w:hyperlink>
    </w:p>
    <w:p w14:paraId="5875DF1D" w14:textId="44A48FA4" w:rsidR="005D79F7" w:rsidRPr="00FA7341" w:rsidRDefault="005D79F7" w:rsidP="007369E7">
      <w:pPr>
        <w:pStyle w:val="Tabladeilustraciones"/>
        <w:tabs>
          <w:tab w:val="right" w:leader="dot" w:pos="8828"/>
        </w:tabs>
        <w:spacing w:after="0" w:line="240" w:lineRule="auto"/>
        <w:jc w:val="both"/>
        <w:rPr>
          <w:rStyle w:val="Hipervnculo"/>
          <w:rFonts w:ascii="Century Gothic" w:hAnsi="Century Gothic" w:cs="Arial"/>
          <w:noProof/>
          <w:color w:val="000000"/>
        </w:rPr>
        <w:sectPr w:rsidR="005D79F7" w:rsidRPr="00FA7341" w:rsidSect="002F0E25">
          <w:headerReference w:type="default" r:id="rId10"/>
          <w:footerReference w:type="default" r:id="rId11"/>
          <w:pgSz w:w="12240" w:h="15840"/>
          <w:pgMar w:top="1875" w:right="1701" w:bottom="2141" w:left="1701" w:header="708" w:footer="1314" w:gutter="0"/>
          <w:cols w:space="708"/>
          <w:docGrid w:linePitch="360"/>
        </w:sectPr>
      </w:pPr>
      <w:r w:rsidRPr="00FA7341">
        <w:rPr>
          <w:rStyle w:val="Hipervnculo"/>
          <w:rFonts w:ascii="Century Gothic" w:hAnsi="Century Gothic" w:cs="Arial"/>
          <w:noProof/>
        </w:rPr>
        <w:fldChar w:fldCharType="end"/>
      </w:r>
    </w:p>
    <w:p w14:paraId="7C80CD80" w14:textId="1A233132" w:rsidR="004229D7" w:rsidRPr="00FA7341" w:rsidRDefault="00BE7E98">
      <w:pPr>
        <w:pStyle w:val="Tabladeilustraciones"/>
        <w:tabs>
          <w:tab w:val="right" w:leader="dot" w:pos="8828"/>
        </w:tabs>
        <w:rPr>
          <w:rFonts w:ascii="Century Gothic" w:eastAsiaTheme="minorEastAsia" w:hAnsi="Century Gothic" w:cstheme="minorBidi"/>
          <w:noProof/>
          <w:lang w:eastAsia="es-CO"/>
          <w14:ligatures w14:val="standardContextual"/>
        </w:rPr>
      </w:pPr>
      <w:r w:rsidRPr="00FA7341">
        <w:rPr>
          <w:rFonts w:ascii="Century Gothic" w:hAnsi="Century Gothic" w:cs="Arial"/>
        </w:rPr>
        <w:fldChar w:fldCharType="begin"/>
      </w:r>
      <w:r w:rsidRPr="00FA7341">
        <w:rPr>
          <w:rFonts w:ascii="Century Gothic" w:hAnsi="Century Gothic" w:cs="Arial"/>
        </w:rPr>
        <w:instrText xml:space="preserve"> TOC \h \z \c "Ilustración" </w:instrText>
      </w:r>
      <w:r w:rsidRPr="00FA7341">
        <w:rPr>
          <w:rFonts w:ascii="Century Gothic" w:hAnsi="Century Gothic" w:cs="Arial"/>
        </w:rPr>
        <w:fldChar w:fldCharType="separate"/>
      </w:r>
      <w:hyperlink w:anchor="_Toc226395615" w:history="1">
        <w:r w:rsidR="004229D7" w:rsidRPr="00FA7341">
          <w:rPr>
            <w:rStyle w:val="Hipervnculo"/>
            <w:rFonts w:ascii="Century Gothic" w:hAnsi="Century Gothic" w:cs="Arial"/>
            <w:noProof/>
          </w:rPr>
          <w:t>Ilustración 1 Actividades profesionales, científicas y técnicas</w:t>
        </w:r>
        <w:r w:rsidR="004229D7" w:rsidRPr="00FA7341">
          <w:rPr>
            <w:rFonts w:ascii="Century Gothic" w:hAnsi="Century Gothic"/>
            <w:noProof/>
            <w:webHidden/>
          </w:rPr>
          <w:tab/>
        </w:r>
        <w:r w:rsidR="004229D7" w:rsidRPr="00FA7341">
          <w:rPr>
            <w:rFonts w:ascii="Century Gothic" w:hAnsi="Century Gothic"/>
            <w:noProof/>
            <w:webHidden/>
          </w:rPr>
          <w:fldChar w:fldCharType="begin"/>
        </w:r>
        <w:r w:rsidR="004229D7" w:rsidRPr="00FA7341">
          <w:rPr>
            <w:rFonts w:ascii="Century Gothic" w:hAnsi="Century Gothic"/>
            <w:noProof/>
            <w:webHidden/>
          </w:rPr>
          <w:instrText xml:space="preserve"> PAGEREF _Toc226395615 \h </w:instrText>
        </w:r>
        <w:r w:rsidR="004229D7" w:rsidRPr="00FA7341">
          <w:rPr>
            <w:rFonts w:ascii="Century Gothic" w:hAnsi="Century Gothic"/>
            <w:noProof/>
            <w:webHidden/>
          </w:rPr>
        </w:r>
        <w:r w:rsidR="004229D7" w:rsidRPr="00FA7341">
          <w:rPr>
            <w:rFonts w:ascii="Century Gothic" w:hAnsi="Century Gothic"/>
            <w:noProof/>
            <w:webHidden/>
          </w:rPr>
          <w:fldChar w:fldCharType="separate"/>
        </w:r>
        <w:r w:rsidR="004229D7" w:rsidRPr="00FA7341">
          <w:rPr>
            <w:rFonts w:ascii="Century Gothic" w:hAnsi="Century Gothic"/>
            <w:noProof/>
            <w:webHidden/>
          </w:rPr>
          <w:t>15</w:t>
        </w:r>
        <w:r w:rsidR="004229D7" w:rsidRPr="00FA7341">
          <w:rPr>
            <w:rFonts w:ascii="Century Gothic" w:hAnsi="Century Gothic"/>
            <w:noProof/>
            <w:webHidden/>
          </w:rPr>
          <w:fldChar w:fldCharType="end"/>
        </w:r>
      </w:hyperlink>
    </w:p>
    <w:p w14:paraId="3E6FA57A" w14:textId="77777777" w:rsidR="00636A11" w:rsidRDefault="00BE7E98" w:rsidP="007369E7">
      <w:pPr>
        <w:spacing w:after="0" w:line="240" w:lineRule="auto"/>
        <w:jc w:val="both"/>
        <w:rPr>
          <w:rFonts w:ascii="Century Gothic" w:hAnsi="Century Gothic" w:cs="Arial"/>
        </w:rPr>
      </w:pPr>
      <w:r w:rsidRPr="00FA7341">
        <w:rPr>
          <w:rFonts w:ascii="Century Gothic" w:hAnsi="Century Gothic" w:cs="Arial"/>
        </w:rPr>
        <w:fldChar w:fldCharType="end"/>
      </w:r>
    </w:p>
    <w:p w14:paraId="23E7868C" w14:textId="77777777" w:rsidR="002E2FD3" w:rsidRDefault="002E2FD3" w:rsidP="007369E7">
      <w:pPr>
        <w:spacing w:after="0" w:line="240" w:lineRule="auto"/>
        <w:jc w:val="both"/>
        <w:rPr>
          <w:rFonts w:ascii="Century Gothic" w:hAnsi="Century Gothic" w:cs="Arial"/>
        </w:rPr>
      </w:pPr>
    </w:p>
    <w:p w14:paraId="13DC677F" w14:textId="77777777" w:rsidR="002E2FD3" w:rsidRDefault="002E2FD3" w:rsidP="007369E7">
      <w:pPr>
        <w:spacing w:after="0" w:line="240" w:lineRule="auto"/>
        <w:jc w:val="both"/>
        <w:rPr>
          <w:rFonts w:ascii="Century Gothic" w:hAnsi="Century Gothic" w:cs="Arial"/>
        </w:rPr>
      </w:pPr>
    </w:p>
    <w:p w14:paraId="5634534F" w14:textId="77777777" w:rsidR="002E2FD3" w:rsidRDefault="002E2FD3" w:rsidP="007369E7">
      <w:pPr>
        <w:spacing w:after="0" w:line="240" w:lineRule="auto"/>
        <w:jc w:val="both"/>
        <w:rPr>
          <w:rFonts w:ascii="Century Gothic" w:hAnsi="Century Gothic" w:cs="Arial"/>
        </w:rPr>
      </w:pPr>
    </w:p>
    <w:p w14:paraId="59DDA315" w14:textId="77777777" w:rsidR="002E2FD3" w:rsidRDefault="002E2FD3" w:rsidP="007369E7">
      <w:pPr>
        <w:spacing w:after="0" w:line="240" w:lineRule="auto"/>
        <w:jc w:val="both"/>
        <w:rPr>
          <w:rFonts w:ascii="Century Gothic" w:hAnsi="Century Gothic" w:cs="Arial"/>
        </w:rPr>
      </w:pPr>
    </w:p>
    <w:p w14:paraId="1C5B3452" w14:textId="77777777" w:rsidR="002E2FD3" w:rsidRDefault="002E2FD3" w:rsidP="007369E7">
      <w:pPr>
        <w:spacing w:after="0" w:line="240" w:lineRule="auto"/>
        <w:jc w:val="both"/>
        <w:rPr>
          <w:rFonts w:ascii="Century Gothic" w:hAnsi="Century Gothic" w:cs="Arial"/>
        </w:rPr>
      </w:pPr>
    </w:p>
    <w:p w14:paraId="04280015" w14:textId="74588FF2" w:rsidR="002E2FD3" w:rsidRPr="00FA7341" w:rsidRDefault="002E2FD3" w:rsidP="007369E7">
      <w:pPr>
        <w:spacing w:after="0" w:line="240" w:lineRule="auto"/>
        <w:jc w:val="both"/>
        <w:rPr>
          <w:rFonts w:ascii="Century Gothic" w:hAnsi="Century Gothic" w:cs="Arial"/>
        </w:rPr>
        <w:sectPr w:rsidR="002E2FD3" w:rsidRPr="00FA7341" w:rsidSect="00125A48">
          <w:type w:val="continuous"/>
          <w:pgSz w:w="12240" w:h="15840"/>
          <w:pgMar w:top="1875" w:right="1701" w:bottom="2143" w:left="1701" w:header="709" w:footer="1315" w:gutter="0"/>
          <w:cols w:space="708"/>
          <w:docGrid w:linePitch="360"/>
        </w:sectPr>
      </w:pPr>
    </w:p>
    <w:p w14:paraId="0D97E506" w14:textId="30DA83F7" w:rsidR="005D79F7" w:rsidRPr="00FA7341" w:rsidRDefault="005D79F7" w:rsidP="007369E7">
      <w:pPr>
        <w:pStyle w:val="Ttulo1"/>
        <w:keepNext w:val="0"/>
        <w:keepLines w:val="0"/>
        <w:widowControl w:val="0"/>
        <w:numPr>
          <w:ilvl w:val="0"/>
          <w:numId w:val="1"/>
        </w:numPr>
        <w:shd w:val="clear" w:color="auto" w:fill="002060"/>
        <w:autoSpaceDE w:val="0"/>
        <w:autoSpaceDN w:val="0"/>
        <w:spacing w:before="0" w:line="240" w:lineRule="auto"/>
        <w:rPr>
          <w:rFonts w:ascii="Century Gothic" w:hAnsi="Century Gothic" w:cs="Arial"/>
          <w:color w:val="FFFFFF"/>
          <w:sz w:val="22"/>
          <w:szCs w:val="22"/>
        </w:rPr>
      </w:pPr>
      <w:bookmarkStart w:id="0" w:name="_Toc232673886"/>
      <w:r w:rsidRPr="00FA7341">
        <w:rPr>
          <w:rFonts w:ascii="Century Gothic" w:hAnsi="Century Gothic" w:cs="Arial"/>
          <w:color w:val="FFFFFF"/>
          <w:sz w:val="22"/>
          <w:szCs w:val="22"/>
        </w:rPr>
        <w:lastRenderedPageBreak/>
        <w:t>ASPECTOS GENERALES</w:t>
      </w:r>
      <w:bookmarkEnd w:id="0"/>
      <w:r w:rsidRPr="00FA7341">
        <w:rPr>
          <w:rFonts w:ascii="Century Gothic" w:hAnsi="Century Gothic" w:cs="Arial"/>
          <w:color w:val="FFFFFF"/>
          <w:sz w:val="22"/>
          <w:szCs w:val="22"/>
        </w:rPr>
        <w:t xml:space="preserve"> </w:t>
      </w:r>
    </w:p>
    <w:p w14:paraId="1739BDEC" w14:textId="77777777" w:rsidR="005D79F7" w:rsidRPr="00FA7341" w:rsidRDefault="005D79F7" w:rsidP="007369E7">
      <w:pPr>
        <w:spacing w:after="0" w:line="240" w:lineRule="auto"/>
        <w:jc w:val="both"/>
        <w:rPr>
          <w:rFonts w:ascii="Century Gothic" w:hAnsi="Century Gothic" w:cs="Arial"/>
        </w:rPr>
      </w:pPr>
    </w:p>
    <w:p w14:paraId="0BDDB2DF" w14:textId="4207721D" w:rsidR="0078117A" w:rsidRPr="00FA7341" w:rsidRDefault="0078117A" w:rsidP="007369E7">
      <w:pPr>
        <w:spacing w:after="0" w:line="240" w:lineRule="auto"/>
        <w:jc w:val="both"/>
        <w:rPr>
          <w:rFonts w:ascii="Century Gothic" w:hAnsi="Century Gothic" w:cs="Arial"/>
          <w:color w:val="000000"/>
        </w:rPr>
      </w:pPr>
      <w:r w:rsidRPr="00FA7341">
        <w:rPr>
          <w:rFonts w:ascii="Century Gothic" w:hAnsi="Century Gothic" w:cs="Arial"/>
          <w:color w:val="000000"/>
        </w:rPr>
        <w:t>En virtud de lo establecido en la Ley de contratación estatal Ley 80 de 1993, Ley 1150 de 2007 y</w:t>
      </w:r>
      <w:r w:rsidRPr="00FA7341">
        <w:rPr>
          <w:rFonts w:ascii="Century Gothic" w:hAnsi="Century Gothic" w:cs="Arial"/>
        </w:rPr>
        <w:t xml:space="preserve"> específicamente en el </w:t>
      </w:r>
      <w:r w:rsidRPr="00FA7341">
        <w:rPr>
          <w:rFonts w:ascii="Century Gothic" w:hAnsi="Century Gothic" w:cs="Arial"/>
          <w:color w:val="000000"/>
        </w:rPr>
        <w:t xml:space="preserve">Decreto 1082 de 2015, </w:t>
      </w:r>
      <w:r w:rsidRPr="00FA7341">
        <w:rPr>
          <w:rFonts w:ascii="Century Gothic" w:hAnsi="Century Gothic" w:cs="Arial"/>
        </w:rPr>
        <w:t xml:space="preserve">según sus </w:t>
      </w:r>
      <w:r w:rsidRPr="00FA7341">
        <w:rPr>
          <w:rFonts w:ascii="Century Gothic" w:hAnsi="Century Gothic" w:cs="Arial"/>
          <w:color w:val="000000"/>
        </w:rPr>
        <w:t xml:space="preserve">artículos </w:t>
      </w:r>
      <w:r w:rsidRPr="00FA7341">
        <w:rPr>
          <w:rFonts w:ascii="Century Gothic" w:hAnsi="Century Gothic" w:cs="Arial"/>
        </w:rPr>
        <w:t xml:space="preserve">2.2.1.1.1.6.1. y </w:t>
      </w:r>
      <w:r w:rsidRPr="00FA7341">
        <w:rPr>
          <w:rFonts w:ascii="Century Gothic" w:hAnsi="Century Gothic" w:cs="Arial"/>
          <w:color w:val="000000"/>
        </w:rPr>
        <w:t>2.2.1.1.1.6.2 que establecen lo siguiente:</w:t>
      </w:r>
    </w:p>
    <w:p w14:paraId="5323CDE2" w14:textId="77777777" w:rsidR="0078117A" w:rsidRPr="00FA7341" w:rsidRDefault="0078117A" w:rsidP="007369E7">
      <w:pPr>
        <w:spacing w:after="0" w:line="240" w:lineRule="auto"/>
        <w:jc w:val="both"/>
        <w:rPr>
          <w:rFonts w:ascii="Century Gothic" w:hAnsi="Century Gothic" w:cs="Arial"/>
        </w:rPr>
      </w:pPr>
    </w:p>
    <w:p w14:paraId="1F9E2BC6" w14:textId="77777777" w:rsidR="0078117A" w:rsidRPr="00FA7341" w:rsidRDefault="0078117A" w:rsidP="007369E7">
      <w:pPr>
        <w:pStyle w:val="Default"/>
        <w:ind w:left="426" w:right="332"/>
        <w:jc w:val="both"/>
        <w:rPr>
          <w:rFonts w:ascii="Century Gothic" w:hAnsi="Century Gothic"/>
          <w:i/>
          <w:sz w:val="22"/>
          <w:szCs w:val="22"/>
        </w:rPr>
      </w:pPr>
      <w:r w:rsidRPr="00FA7341">
        <w:rPr>
          <w:rFonts w:ascii="Century Gothic" w:hAnsi="Century Gothic"/>
          <w:i/>
          <w:color w:val="auto"/>
          <w:sz w:val="22"/>
          <w:szCs w:val="22"/>
        </w:rPr>
        <w:t xml:space="preserve">“Artículo 2.2.1.1.1.6.1. </w:t>
      </w:r>
      <w:r w:rsidRPr="00FA7341">
        <w:rPr>
          <w:rFonts w:ascii="Century Gothic" w:hAnsi="Century Gothic"/>
          <w:i/>
          <w:iCs/>
          <w:color w:val="auto"/>
          <w:sz w:val="22"/>
          <w:szCs w:val="22"/>
        </w:rPr>
        <w:t xml:space="preserve">Deber de análisis de las Entidades Estatales. </w:t>
      </w:r>
      <w:r w:rsidRPr="00FA7341">
        <w:rPr>
          <w:rFonts w:ascii="Century Gothic" w:hAnsi="Century Gothic"/>
          <w:i/>
          <w:color w:val="auto"/>
          <w:sz w:val="22"/>
          <w:szCs w:val="22"/>
        </w:rPr>
        <w:t xml:space="preserve">La Entidad Estatal debe hacer, durante la etapa de planeación, el análisis necesario para conocer el sector </w:t>
      </w:r>
      <w:r w:rsidRPr="00FA7341">
        <w:rPr>
          <w:rFonts w:ascii="Century Gothic" w:hAnsi="Century Gothic"/>
          <w:i/>
          <w:sz w:val="22"/>
          <w:szCs w:val="22"/>
        </w:rPr>
        <w:t xml:space="preserve">relativo al objeto del Proceso de Contratación desde la perspectiva legal, comercial, financiera, organizacional, técnica, y de análisis de Riesgo. La Entidad Estatal debe dejar constancia de este análisis en los Documentos del Proceso”. </w:t>
      </w:r>
    </w:p>
    <w:p w14:paraId="12020826" w14:textId="77777777" w:rsidR="0078117A" w:rsidRPr="00FA7341" w:rsidRDefault="0078117A" w:rsidP="007369E7">
      <w:pPr>
        <w:spacing w:after="0" w:line="240" w:lineRule="auto"/>
        <w:jc w:val="both"/>
        <w:rPr>
          <w:rFonts w:ascii="Century Gothic" w:hAnsi="Century Gothic" w:cs="Arial"/>
        </w:rPr>
      </w:pPr>
    </w:p>
    <w:p w14:paraId="72FF5CA3" w14:textId="77777777" w:rsidR="0078117A" w:rsidRPr="00FA7341" w:rsidRDefault="0078117A" w:rsidP="007369E7">
      <w:pPr>
        <w:autoSpaceDE w:val="0"/>
        <w:autoSpaceDN w:val="0"/>
        <w:adjustRightInd w:val="0"/>
        <w:spacing w:after="0" w:line="240" w:lineRule="auto"/>
        <w:ind w:left="426" w:right="332"/>
        <w:jc w:val="both"/>
        <w:rPr>
          <w:rFonts w:ascii="Century Gothic" w:hAnsi="Century Gothic" w:cs="Arial"/>
          <w:i/>
        </w:rPr>
      </w:pPr>
      <w:r w:rsidRPr="00FA7341">
        <w:rPr>
          <w:rFonts w:ascii="Century Gothic" w:hAnsi="Century Gothic" w:cs="Arial"/>
          <w:i/>
        </w:rPr>
        <w:t>“Artículo 2.2.1.1.1.6.2. Determinación de los Requisitos Habilitantes. La Entidad Estatal debe establecer los requisitos habilitantes en los pliegos de condiciones o en la invitación, teniendo en cuenta: (a) el Riesgo del Proceso de Contratación; (b) el valor del contrato objeto del Proceso de Contratación; (c) el análisis del sector económico respectivo; y (d) el conocimiento de fondo de los posibles oferentes desde la perspectiva comercial. La Entidad estatal no debe limitarse a la aplicación mecánica fórmulas financieras para verificar los requisitos habilitantes”</w:t>
      </w:r>
    </w:p>
    <w:p w14:paraId="37BCF764" w14:textId="77777777" w:rsidR="0078117A" w:rsidRPr="00FA7341" w:rsidRDefault="0078117A" w:rsidP="007369E7">
      <w:pPr>
        <w:spacing w:after="0" w:line="240" w:lineRule="auto"/>
        <w:jc w:val="both"/>
        <w:rPr>
          <w:rFonts w:ascii="Century Gothic" w:hAnsi="Century Gothic" w:cs="Arial"/>
        </w:rPr>
      </w:pPr>
    </w:p>
    <w:p w14:paraId="1D37B6B1" w14:textId="5C9D2D03" w:rsidR="005D79F7" w:rsidRPr="00FA7341" w:rsidRDefault="0078117A" w:rsidP="007369E7">
      <w:pPr>
        <w:spacing w:after="0" w:line="240" w:lineRule="auto"/>
        <w:jc w:val="both"/>
        <w:rPr>
          <w:rFonts w:ascii="Century Gothic" w:hAnsi="Century Gothic" w:cs="Arial"/>
          <w:b/>
          <w:bCs/>
          <w:color w:val="000000" w:themeColor="text1"/>
        </w:rPr>
      </w:pPr>
      <w:r w:rsidRPr="00FA7341">
        <w:rPr>
          <w:rFonts w:ascii="Century Gothic" w:hAnsi="Century Gothic" w:cs="Arial"/>
          <w:color w:val="000000" w:themeColor="text1"/>
        </w:rPr>
        <w:t>Por lo anterior</w:t>
      </w:r>
      <w:r w:rsidR="005D79F7" w:rsidRPr="00FA7341">
        <w:rPr>
          <w:rFonts w:ascii="Century Gothic" w:hAnsi="Century Gothic" w:cs="Arial"/>
          <w:color w:val="000000" w:themeColor="text1"/>
        </w:rPr>
        <w:t>,</w:t>
      </w:r>
      <w:r w:rsidR="00ED4E1B" w:rsidRPr="00FA7341">
        <w:rPr>
          <w:rFonts w:ascii="Century Gothic" w:hAnsi="Century Gothic" w:cs="Arial"/>
          <w:color w:val="000000" w:themeColor="text1"/>
        </w:rPr>
        <w:t xml:space="preserve"> EL DEPARTAMENTO</w:t>
      </w:r>
      <w:r w:rsidR="0082503D" w:rsidRPr="00FA7341">
        <w:rPr>
          <w:rFonts w:ascii="Century Gothic" w:hAnsi="Century Gothic" w:cs="Arial"/>
          <w:color w:val="000000" w:themeColor="text1"/>
        </w:rPr>
        <w:t xml:space="preserve"> DE CUNDINAMARCA</w:t>
      </w:r>
      <w:r w:rsidR="005D79F7" w:rsidRPr="00FA7341">
        <w:rPr>
          <w:rFonts w:ascii="Century Gothic" w:hAnsi="Century Gothic" w:cs="Arial"/>
          <w:color w:val="000000" w:themeColor="text1"/>
        </w:rPr>
        <w:t>, mediante el presente documento deja constancia sobre el contenido del Estudio del Sector desde la perspectiva</w:t>
      </w:r>
      <w:r w:rsidRPr="00FA7341">
        <w:rPr>
          <w:rFonts w:ascii="Century Gothic" w:hAnsi="Century Gothic" w:cs="Arial"/>
          <w:color w:val="000000" w:themeColor="text1"/>
        </w:rPr>
        <w:t xml:space="preserve"> legal, comercial, financiera, organizacional, técnica, y de análisis de Riesgo, </w:t>
      </w:r>
      <w:r w:rsidR="005D79F7" w:rsidRPr="00FA7341">
        <w:rPr>
          <w:rFonts w:ascii="Century Gothic" w:hAnsi="Century Gothic" w:cs="Arial"/>
          <w:color w:val="000000" w:themeColor="text1"/>
        </w:rPr>
        <w:t>para el proceso de contratación que tiene por objeto</w:t>
      </w:r>
      <w:r w:rsidR="007369E7" w:rsidRPr="00FA7341">
        <w:rPr>
          <w:rFonts w:ascii="Century Gothic" w:hAnsi="Century Gothic" w:cs="Arial"/>
          <w:color w:val="000000" w:themeColor="text1"/>
        </w:rPr>
        <w:t xml:space="preserve"> “</w:t>
      </w:r>
      <w:r w:rsidR="00041903" w:rsidRPr="00FA7341">
        <w:rPr>
          <w:rFonts w:ascii="Century Gothic" w:hAnsi="Century Gothic" w:cs="Arial"/>
          <w:color w:val="000000" w:themeColor="text1"/>
        </w:rPr>
        <w:t>ADQUISICIÓN DE BONOS O TARJETAS CANJEABLES EXCLUSIVAMENTE PARA COMPRA DE VESTUARIO Y CALZADO DE LABOR, PARA LOS SERVIDORES PÚBLICOS DE LA GOBERNACIÓN DE CUNDINAMARCA, QUE TENGAN DERECHO A LA DOTACIÓN.</w:t>
      </w:r>
      <w:r w:rsidR="007369E7" w:rsidRPr="00FA7341">
        <w:rPr>
          <w:rFonts w:ascii="Century Gothic" w:hAnsi="Century Gothic" w:cs="Arial"/>
        </w:rPr>
        <w:t>”</w:t>
      </w:r>
      <w:r w:rsidR="00B9181B" w:rsidRPr="00FA7341">
        <w:rPr>
          <w:rFonts w:ascii="Century Gothic" w:hAnsi="Century Gothic" w:cs="Arial"/>
          <w:color w:val="000000" w:themeColor="text1"/>
        </w:rPr>
        <w:t xml:space="preserve"> De</w:t>
      </w:r>
      <w:r w:rsidR="005D79F7" w:rsidRPr="00FA7341">
        <w:rPr>
          <w:rFonts w:ascii="Century Gothic" w:hAnsi="Century Gothic" w:cs="Arial"/>
          <w:color w:val="000000" w:themeColor="text1"/>
        </w:rPr>
        <w:t xml:space="preserve"> manera que los proponentes, puedan conocer los lineamientos utilizados para la definición de los </w:t>
      </w:r>
      <w:r w:rsidRPr="00FA7341">
        <w:rPr>
          <w:rFonts w:ascii="Century Gothic" w:hAnsi="Century Gothic" w:cs="Arial"/>
          <w:color w:val="000000" w:themeColor="text1"/>
        </w:rPr>
        <w:t xml:space="preserve">diferentes </w:t>
      </w:r>
      <w:r w:rsidR="005D79F7" w:rsidRPr="00FA7341">
        <w:rPr>
          <w:rFonts w:ascii="Century Gothic" w:hAnsi="Century Gothic" w:cs="Arial"/>
          <w:color w:val="000000" w:themeColor="text1"/>
        </w:rPr>
        <w:t xml:space="preserve">criterios que regirán el proceso de selección que promueve </w:t>
      </w:r>
      <w:r w:rsidR="007369E7" w:rsidRPr="00FA7341">
        <w:rPr>
          <w:rFonts w:ascii="Century Gothic" w:hAnsi="Century Gothic" w:cs="Arial"/>
          <w:color w:val="000000" w:themeColor="text1"/>
        </w:rPr>
        <w:t xml:space="preserve">el </w:t>
      </w:r>
      <w:r w:rsidR="007369E7" w:rsidRPr="00FA7341">
        <w:rPr>
          <w:rFonts w:ascii="Century Gothic" w:hAnsi="Century Gothic" w:cs="Arial"/>
          <w:b/>
          <w:bCs/>
          <w:color w:val="000000" w:themeColor="text1"/>
        </w:rPr>
        <w:t xml:space="preserve">DEPARTAMENTO ADMINISTRATIVO DE FUNCIÓN PÚBLICA DE CUNDINAMARCA. </w:t>
      </w:r>
    </w:p>
    <w:p w14:paraId="29AC1140" w14:textId="77777777" w:rsidR="0078117A" w:rsidRPr="00FA7341" w:rsidRDefault="0078117A" w:rsidP="007369E7">
      <w:pPr>
        <w:spacing w:after="0" w:line="240" w:lineRule="auto"/>
        <w:jc w:val="both"/>
        <w:rPr>
          <w:rFonts w:ascii="Century Gothic" w:hAnsi="Century Gothic" w:cs="Arial"/>
          <w:b/>
          <w:bCs/>
          <w:color w:val="000000" w:themeColor="text1"/>
          <w:highlight w:val="darkGray"/>
        </w:rPr>
      </w:pPr>
    </w:p>
    <w:p w14:paraId="32C116C6" w14:textId="6E6D35CD" w:rsidR="0078117A" w:rsidRPr="00FA7341" w:rsidRDefault="0078117A" w:rsidP="007369E7">
      <w:pPr>
        <w:spacing w:after="0" w:line="240" w:lineRule="auto"/>
        <w:jc w:val="both"/>
        <w:rPr>
          <w:rFonts w:ascii="Century Gothic" w:hAnsi="Century Gothic" w:cs="Arial"/>
          <w:color w:val="000000"/>
        </w:rPr>
      </w:pPr>
      <w:r w:rsidRPr="00FA7341">
        <w:rPr>
          <w:rFonts w:ascii="Century Gothic" w:hAnsi="Century Gothic" w:cs="Arial"/>
          <w:color w:val="000000"/>
        </w:rPr>
        <w:t xml:space="preserve">De igual forma, la Entidad aplica en el presente documento </w:t>
      </w:r>
      <w:r w:rsidR="009B5A38" w:rsidRPr="00FA7341">
        <w:rPr>
          <w:rFonts w:ascii="Century Gothic" w:hAnsi="Century Gothic" w:cs="Arial"/>
          <w:color w:val="000000"/>
        </w:rPr>
        <w:t>la metodología sugerida por la Agencia Nacional de C</w:t>
      </w:r>
      <w:r w:rsidRPr="00FA7341">
        <w:rPr>
          <w:rFonts w:ascii="Century Gothic" w:hAnsi="Century Gothic" w:cs="Arial"/>
          <w:color w:val="000000"/>
        </w:rPr>
        <w:t xml:space="preserve">ontratación – Colombia Compra </w:t>
      </w:r>
      <w:r w:rsidR="009B5A38" w:rsidRPr="00FA7341">
        <w:rPr>
          <w:rFonts w:ascii="Century Gothic" w:hAnsi="Century Gothic" w:cs="Arial"/>
          <w:color w:val="000000"/>
        </w:rPr>
        <w:t>E</w:t>
      </w:r>
      <w:r w:rsidRPr="00FA7341">
        <w:rPr>
          <w:rFonts w:ascii="Century Gothic" w:hAnsi="Century Gothic" w:cs="Arial"/>
          <w:color w:val="000000"/>
        </w:rPr>
        <w:t>ficiente, en el Manual para determinar y verificar los requisitos habilitantes en los Procesos de Contratación y en la Guía para la Elaboración de Estudios de Sector, en donde si bien es cierto</w:t>
      </w:r>
      <w:r w:rsidR="009B5A38" w:rsidRPr="00FA7341">
        <w:rPr>
          <w:rFonts w:ascii="Century Gothic" w:hAnsi="Century Gothic" w:cs="Arial"/>
          <w:color w:val="000000"/>
        </w:rPr>
        <w:t xml:space="preserve">, </w:t>
      </w:r>
      <w:r w:rsidRPr="00FA7341">
        <w:rPr>
          <w:rFonts w:ascii="Century Gothic" w:hAnsi="Century Gothic" w:cs="Arial"/>
          <w:color w:val="000000"/>
        </w:rPr>
        <w:t xml:space="preserve"> se calculan las estadísticas más relevantes del sector económico, también se analiza de forma detallada y comparativa el nicho de mercado y el promedio del sector económico.</w:t>
      </w:r>
    </w:p>
    <w:p w14:paraId="7D68615D" w14:textId="77777777" w:rsidR="005D79F7" w:rsidRPr="00FA7341" w:rsidRDefault="005D79F7" w:rsidP="007369E7">
      <w:pPr>
        <w:spacing w:after="0" w:line="240" w:lineRule="auto"/>
        <w:jc w:val="both"/>
        <w:rPr>
          <w:rFonts w:ascii="Century Gothic" w:hAnsi="Century Gothic" w:cs="Arial"/>
        </w:rPr>
      </w:pPr>
    </w:p>
    <w:p w14:paraId="286C2E6A" w14:textId="2B8D670C" w:rsidR="005D79F7" w:rsidRPr="00FA7341" w:rsidRDefault="005D79F7" w:rsidP="007369E7">
      <w:pPr>
        <w:spacing w:after="0" w:line="240" w:lineRule="auto"/>
        <w:jc w:val="both"/>
        <w:rPr>
          <w:rFonts w:ascii="Century Gothic" w:hAnsi="Century Gothic" w:cs="Arial"/>
        </w:rPr>
      </w:pPr>
      <w:r w:rsidRPr="00FA7341">
        <w:rPr>
          <w:rFonts w:ascii="Century Gothic" w:hAnsi="Century Gothic" w:cs="Arial"/>
          <w:color w:val="000000"/>
        </w:rPr>
        <w:lastRenderedPageBreak/>
        <w:t>Inicialmente, con el objetivo de mirar el comportamiento del sector, se referenció la información presentada en el</w:t>
      </w:r>
      <w:r w:rsidR="009B5A38" w:rsidRPr="00FA7341">
        <w:rPr>
          <w:rFonts w:ascii="Century Gothic" w:hAnsi="Century Gothic" w:cs="Arial"/>
          <w:color w:val="000000"/>
        </w:rPr>
        <w:t xml:space="preserve"> Boletín Técnico – Indicadores E</w:t>
      </w:r>
      <w:r w:rsidRPr="00FA7341">
        <w:rPr>
          <w:rFonts w:ascii="Century Gothic" w:hAnsi="Century Gothic" w:cs="Arial"/>
          <w:color w:val="000000"/>
        </w:rPr>
        <w:t>conómicos de Cuentas Nacionales</w:t>
      </w:r>
      <w:r w:rsidRPr="00FA7341">
        <w:rPr>
          <w:rFonts w:ascii="Century Gothic" w:hAnsi="Century Gothic" w:cs="Arial"/>
        </w:rPr>
        <w:t>, del Departamento Administrativo Nacional de Estadística DANE</w:t>
      </w:r>
      <w:r w:rsidRPr="00FA7341">
        <w:rPr>
          <w:rStyle w:val="Refdenotaalpie"/>
          <w:rFonts w:ascii="Century Gothic" w:hAnsi="Century Gothic" w:cs="Arial"/>
        </w:rPr>
        <w:footnoteReference w:id="1"/>
      </w:r>
      <w:r w:rsidRPr="00FA7341">
        <w:rPr>
          <w:rFonts w:ascii="Century Gothic" w:hAnsi="Century Gothic" w:cs="Arial"/>
        </w:rPr>
        <w:t xml:space="preserve">; donde se evidencia el comportamiento de los sectores económicos con respecto al PIB y sectores específicos para </w:t>
      </w:r>
      <w:r w:rsidR="0082503D" w:rsidRPr="00FA7341">
        <w:rPr>
          <w:rFonts w:ascii="Century Gothic" w:hAnsi="Century Gothic" w:cs="Arial"/>
        </w:rPr>
        <w:t xml:space="preserve">la vigencia </w:t>
      </w:r>
      <w:r w:rsidR="0065265B" w:rsidRPr="00FA7341">
        <w:rPr>
          <w:rFonts w:ascii="Century Gothic" w:hAnsi="Century Gothic" w:cs="Arial"/>
        </w:rPr>
        <w:t xml:space="preserve">del </w:t>
      </w:r>
      <w:r w:rsidR="003241F5" w:rsidRPr="00FA7341">
        <w:rPr>
          <w:rFonts w:ascii="Century Gothic" w:hAnsi="Century Gothic" w:cs="Arial"/>
        </w:rPr>
        <w:t>202</w:t>
      </w:r>
      <w:r w:rsidR="0033773E" w:rsidRPr="00FA7341">
        <w:rPr>
          <w:rFonts w:ascii="Century Gothic" w:hAnsi="Century Gothic" w:cs="Arial"/>
        </w:rPr>
        <w:t>6</w:t>
      </w:r>
      <w:r w:rsidR="007369E7" w:rsidRPr="00FA7341">
        <w:rPr>
          <w:rFonts w:ascii="Century Gothic" w:hAnsi="Century Gothic" w:cs="Arial"/>
        </w:rPr>
        <w:t>.</w:t>
      </w:r>
      <w:r w:rsidR="00187398" w:rsidRPr="00FA7341">
        <w:rPr>
          <w:rFonts w:ascii="Century Gothic" w:hAnsi="Century Gothic" w:cs="Arial"/>
        </w:rPr>
        <w:t xml:space="preserve"> </w:t>
      </w:r>
    </w:p>
    <w:p w14:paraId="31507A32" w14:textId="77777777" w:rsidR="008D4665" w:rsidRPr="00FA7341" w:rsidRDefault="008D4665" w:rsidP="007369E7">
      <w:pPr>
        <w:spacing w:after="0" w:line="240" w:lineRule="auto"/>
        <w:jc w:val="both"/>
        <w:rPr>
          <w:rFonts w:ascii="Century Gothic" w:hAnsi="Century Gothic" w:cs="Arial"/>
          <w:color w:val="000000"/>
        </w:rPr>
      </w:pPr>
    </w:p>
    <w:p w14:paraId="776CAF78" w14:textId="77777777" w:rsidR="005D79F7" w:rsidRPr="00FA7341" w:rsidRDefault="005D79F7" w:rsidP="007369E7">
      <w:pPr>
        <w:pStyle w:val="Ttulo1"/>
        <w:keepNext w:val="0"/>
        <w:keepLines w:val="0"/>
        <w:widowControl w:val="0"/>
        <w:numPr>
          <w:ilvl w:val="0"/>
          <w:numId w:val="1"/>
        </w:numPr>
        <w:shd w:val="clear" w:color="auto" w:fill="002060"/>
        <w:autoSpaceDE w:val="0"/>
        <w:autoSpaceDN w:val="0"/>
        <w:spacing w:before="0" w:line="240" w:lineRule="auto"/>
        <w:rPr>
          <w:rFonts w:ascii="Century Gothic" w:hAnsi="Century Gothic" w:cs="Arial"/>
          <w:color w:val="FFFFFF"/>
          <w:sz w:val="22"/>
          <w:szCs w:val="22"/>
        </w:rPr>
      </w:pPr>
      <w:bookmarkStart w:id="1" w:name="_Toc232673887"/>
      <w:r w:rsidRPr="00FA7341">
        <w:rPr>
          <w:rFonts w:ascii="Century Gothic" w:hAnsi="Century Gothic" w:cs="Arial"/>
          <w:color w:val="FFFFFF"/>
          <w:sz w:val="22"/>
          <w:szCs w:val="22"/>
        </w:rPr>
        <w:t>INTRODUCCIÓN</w:t>
      </w:r>
      <w:bookmarkEnd w:id="1"/>
    </w:p>
    <w:p w14:paraId="6A76A87B" w14:textId="77777777" w:rsidR="007369E7" w:rsidRPr="00FA7341" w:rsidRDefault="007369E7" w:rsidP="007369E7">
      <w:pPr>
        <w:spacing w:after="0" w:line="240" w:lineRule="auto"/>
        <w:jc w:val="both"/>
        <w:rPr>
          <w:rStyle w:val="normaltextrun"/>
          <w:rFonts w:ascii="Century Gothic" w:hAnsi="Century Gothic" w:cs="Arial"/>
          <w:color w:val="FFFFFF" w:themeColor="background1"/>
        </w:rPr>
      </w:pPr>
    </w:p>
    <w:p w14:paraId="021FFD2E" w14:textId="6D59ED36" w:rsidR="007369E7" w:rsidRPr="00FA7341" w:rsidRDefault="007369E7" w:rsidP="007369E7">
      <w:pPr>
        <w:spacing w:after="0"/>
        <w:jc w:val="both"/>
        <w:rPr>
          <w:rFonts w:ascii="Century Gothic" w:hAnsi="Century Gothic" w:cs="Arial"/>
        </w:rPr>
      </w:pPr>
      <w:r w:rsidRPr="00FA7341">
        <w:rPr>
          <w:rFonts w:ascii="Century Gothic" w:hAnsi="Century Gothic" w:cs="Arial"/>
        </w:rPr>
        <w:t>Dentro de las facultades del Gobernador de Cundinamarca está la de contratar la adquisición de los diferentes bienes y servicios requeridos para el normal funcionamiento de la Entidad en cumplimiento de su misión Constitucional y Legal.</w:t>
      </w:r>
    </w:p>
    <w:p w14:paraId="20408B87" w14:textId="77777777" w:rsidR="007369E7" w:rsidRPr="00FA7341" w:rsidRDefault="007369E7" w:rsidP="007369E7">
      <w:pPr>
        <w:spacing w:after="0"/>
        <w:jc w:val="both"/>
        <w:rPr>
          <w:rFonts w:ascii="Century Gothic" w:hAnsi="Century Gothic" w:cs="Arial"/>
        </w:rPr>
      </w:pPr>
      <w:r w:rsidRPr="00FA7341">
        <w:rPr>
          <w:rFonts w:ascii="Century Gothic" w:hAnsi="Century Gothic" w:cs="Arial"/>
        </w:rPr>
        <w:t>Así mismo, conforme a la misión, las funciones contenidas en el Decreto Ordenanzal 406 del 6 de noviembre de 2024 &lt;&lt;Por el cual se establece la estructura de la administración pública departamental, se define la organización interna y las funciones de las dependencias del sector central de la administración pública de Cundinamarca y se dictan otras disposiciones &gt;&gt; le corresponde al Departamento administrativo de Función Pública de Cundinamarca:</w:t>
      </w:r>
    </w:p>
    <w:p w14:paraId="67358E43" w14:textId="77777777" w:rsidR="007369E7" w:rsidRPr="00FA7341" w:rsidRDefault="007369E7" w:rsidP="007369E7">
      <w:pPr>
        <w:spacing w:after="0"/>
        <w:jc w:val="both"/>
        <w:rPr>
          <w:rFonts w:ascii="Century Gothic" w:hAnsi="Century Gothic" w:cs="Arial"/>
        </w:rPr>
      </w:pPr>
    </w:p>
    <w:p w14:paraId="0C9F977B" w14:textId="77777777" w:rsidR="007369E7" w:rsidRPr="00FA7341" w:rsidRDefault="007369E7" w:rsidP="007369E7">
      <w:pPr>
        <w:spacing w:after="0"/>
        <w:ind w:left="284"/>
        <w:jc w:val="both"/>
        <w:rPr>
          <w:rFonts w:ascii="Century Gothic" w:hAnsi="Century Gothic" w:cs="Arial"/>
          <w:i/>
          <w:iCs/>
        </w:rPr>
      </w:pPr>
      <w:r w:rsidRPr="00FA7341">
        <w:rPr>
          <w:rFonts w:ascii="Century Gothic" w:hAnsi="Century Gothic" w:cs="Arial"/>
          <w:i/>
          <w:iCs/>
        </w:rPr>
        <w:t>&lt;&lt;ARTÍCULO 89º. Misión del Departamento Administrativo de Función Pública de Cundinamarca. Es misión del Departamento Administrativo de Función Pública de Cundinamarca, como dependencia de carácter técnico, dirigir el desarrollo organizacional a través de la mejora del Modelo Integrado de Planeación y Gestión (MIPG) y el desarrollo y fortalecimiento del Talento Humano, con el fin de apoyar e incidir en el logro de óptimos resultados en la gestión de la Gobernación&gt;&gt;.</w:t>
      </w:r>
    </w:p>
    <w:p w14:paraId="6182F5D1" w14:textId="77777777" w:rsidR="007369E7" w:rsidRPr="00FA7341" w:rsidRDefault="007369E7" w:rsidP="007369E7">
      <w:pPr>
        <w:spacing w:after="0"/>
        <w:jc w:val="both"/>
        <w:rPr>
          <w:rFonts w:ascii="Century Gothic" w:hAnsi="Century Gothic" w:cs="Arial"/>
        </w:rPr>
      </w:pPr>
    </w:p>
    <w:p w14:paraId="781D2C3D" w14:textId="77777777" w:rsidR="007369E7" w:rsidRPr="00FA7341" w:rsidRDefault="007369E7" w:rsidP="007369E7">
      <w:pPr>
        <w:spacing w:after="0"/>
        <w:jc w:val="both"/>
        <w:rPr>
          <w:rFonts w:ascii="Century Gothic" w:hAnsi="Century Gothic" w:cs="Arial"/>
        </w:rPr>
      </w:pPr>
      <w:proofErr w:type="gramStart"/>
      <w:r w:rsidRPr="00FA7341">
        <w:rPr>
          <w:rFonts w:ascii="Century Gothic" w:hAnsi="Century Gothic" w:cs="Arial"/>
        </w:rPr>
        <w:t>Que</w:t>
      </w:r>
      <w:proofErr w:type="gramEnd"/>
      <w:r w:rsidRPr="00FA7341">
        <w:rPr>
          <w:rFonts w:ascii="Century Gothic" w:hAnsi="Century Gothic" w:cs="Arial"/>
        </w:rPr>
        <w:t xml:space="preserve"> desde el punto de vista de la estructura, el Departamento Administrativo de Función Pública de Cundinamarca, es la siguiente: </w:t>
      </w:r>
    </w:p>
    <w:p w14:paraId="12370DC9" w14:textId="77777777" w:rsidR="007369E7" w:rsidRPr="00FA7341" w:rsidRDefault="007369E7" w:rsidP="007369E7">
      <w:pPr>
        <w:spacing w:after="0"/>
        <w:jc w:val="both"/>
        <w:rPr>
          <w:rFonts w:ascii="Century Gothic" w:hAnsi="Century Gothic" w:cs="Arial"/>
        </w:rPr>
      </w:pPr>
    </w:p>
    <w:p w14:paraId="6518819A" w14:textId="77777777" w:rsidR="007369E7" w:rsidRPr="00FA7341" w:rsidRDefault="007369E7" w:rsidP="007369E7">
      <w:pPr>
        <w:spacing w:after="0"/>
        <w:ind w:left="284"/>
        <w:jc w:val="both"/>
        <w:rPr>
          <w:rFonts w:ascii="Century Gothic" w:hAnsi="Century Gothic" w:cs="Arial"/>
        </w:rPr>
      </w:pPr>
      <w:r w:rsidRPr="00FA7341">
        <w:rPr>
          <w:rFonts w:ascii="Century Gothic" w:hAnsi="Century Gothic" w:cs="Arial"/>
        </w:rPr>
        <w:t>1.</w:t>
      </w:r>
      <w:r w:rsidRPr="00FA7341">
        <w:rPr>
          <w:rFonts w:ascii="Century Gothic" w:hAnsi="Century Gothic" w:cs="Arial"/>
        </w:rPr>
        <w:tab/>
        <w:t xml:space="preserve">Despacho del </w:t>
      </w:r>
      <w:proofErr w:type="gramStart"/>
      <w:r w:rsidRPr="00FA7341">
        <w:rPr>
          <w:rFonts w:ascii="Century Gothic" w:hAnsi="Century Gothic" w:cs="Arial"/>
        </w:rPr>
        <w:t>Director</w:t>
      </w:r>
      <w:proofErr w:type="gramEnd"/>
    </w:p>
    <w:p w14:paraId="7830E9E0" w14:textId="77777777" w:rsidR="007369E7" w:rsidRPr="00FA7341" w:rsidRDefault="007369E7" w:rsidP="007369E7">
      <w:pPr>
        <w:spacing w:after="0"/>
        <w:ind w:left="284"/>
        <w:jc w:val="both"/>
        <w:rPr>
          <w:rFonts w:ascii="Century Gothic" w:hAnsi="Century Gothic" w:cs="Arial"/>
          <w:b/>
          <w:bCs/>
        </w:rPr>
      </w:pPr>
      <w:r w:rsidRPr="00FA7341">
        <w:rPr>
          <w:rFonts w:ascii="Century Gothic" w:hAnsi="Century Gothic" w:cs="Arial"/>
          <w:b/>
          <w:bCs/>
        </w:rPr>
        <w:t>1.1</w:t>
      </w:r>
      <w:r w:rsidRPr="00FA7341">
        <w:rPr>
          <w:rFonts w:ascii="Century Gothic" w:hAnsi="Century Gothic" w:cs="Arial"/>
          <w:b/>
          <w:bCs/>
        </w:rPr>
        <w:tab/>
        <w:t>Oficina Asesora Jurídica y de Relación Laboral Individual y Colectiva</w:t>
      </w:r>
    </w:p>
    <w:p w14:paraId="07893D06" w14:textId="77777777" w:rsidR="007369E7" w:rsidRPr="00FA7341" w:rsidRDefault="007369E7" w:rsidP="007369E7">
      <w:pPr>
        <w:spacing w:after="0"/>
        <w:ind w:left="284"/>
        <w:jc w:val="both"/>
        <w:rPr>
          <w:rFonts w:ascii="Century Gothic" w:hAnsi="Century Gothic" w:cs="Arial"/>
        </w:rPr>
      </w:pPr>
      <w:r w:rsidRPr="00FA7341">
        <w:rPr>
          <w:rFonts w:ascii="Century Gothic" w:hAnsi="Century Gothic" w:cs="Arial"/>
        </w:rPr>
        <w:t>2.</w:t>
      </w:r>
      <w:r w:rsidRPr="00FA7341">
        <w:rPr>
          <w:rFonts w:ascii="Century Gothic" w:hAnsi="Century Gothic" w:cs="Arial"/>
        </w:rPr>
        <w:tab/>
        <w:t xml:space="preserve">Dirección de Cultura Organizacional </w:t>
      </w:r>
    </w:p>
    <w:p w14:paraId="36F6D264" w14:textId="77777777" w:rsidR="007369E7" w:rsidRPr="00FA7341" w:rsidRDefault="007369E7" w:rsidP="007369E7">
      <w:pPr>
        <w:spacing w:after="0"/>
        <w:ind w:left="284"/>
        <w:jc w:val="both"/>
        <w:rPr>
          <w:rFonts w:ascii="Century Gothic" w:hAnsi="Century Gothic" w:cs="Arial"/>
          <w:b/>
          <w:bCs/>
        </w:rPr>
      </w:pPr>
      <w:r w:rsidRPr="00FA7341">
        <w:rPr>
          <w:rFonts w:ascii="Century Gothic" w:hAnsi="Century Gothic" w:cs="Arial"/>
          <w:b/>
          <w:bCs/>
        </w:rPr>
        <w:t>3.</w:t>
      </w:r>
      <w:r w:rsidRPr="00FA7341">
        <w:rPr>
          <w:rFonts w:ascii="Century Gothic" w:hAnsi="Century Gothic" w:cs="Arial"/>
          <w:b/>
          <w:bCs/>
        </w:rPr>
        <w:tab/>
        <w:t xml:space="preserve">Dirección de Potencial Humano </w:t>
      </w:r>
    </w:p>
    <w:p w14:paraId="35F21D8C" w14:textId="77777777" w:rsidR="007369E7" w:rsidRPr="00FA7341" w:rsidRDefault="007369E7" w:rsidP="007369E7">
      <w:pPr>
        <w:spacing w:after="0"/>
        <w:ind w:left="284"/>
        <w:jc w:val="both"/>
        <w:rPr>
          <w:rFonts w:ascii="Century Gothic" w:hAnsi="Century Gothic" w:cs="Arial"/>
          <w:i/>
          <w:iCs/>
        </w:rPr>
      </w:pPr>
    </w:p>
    <w:p w14:paraId="246447D2" w14:textId="224AD5FA" w:rsidR="007369E7" w:rsidRPr="00FA7341" w:rsidRDefault="003F4EC9" w:rsidP="007369E7">
      <w:pPr>
        <w:spacing w:after="0"/>
        <w:jc w:val="both"/>
        <w:rPr>
          <w:rFonts w:ascii="Century Gothic" w:hAnsi="Century Gothic" w:cs="Arial"/>
        </w:rPr>
      </w:pPr>
      <w:r w:rsidRPr="00FA7341">
        <w:rPr>
          <w:rFonts w:ascii="Century Gothic" w:hAnsi="Century Gothic" w:cs="Arial"/>
        </w:rPr>
        <w:t>L</w:t>
      </w:r>
      <w:r w:rsidR="004229D7" w:rsidRPr="00FA7341">
        <w:rPr>
          <w:rFonts w:ascii="Century Gothic" w:hAnsi="Century Gothic" w:cs="Arial"/>
        </w:rPr>
        <w:t>a</w:t>
      </w:r>
      <w:r w:rsidRPr="00FA7341">
        <w:rPr>
          <w:rFonts w:ascii="Century Gothic" w:hAnsi="Century Gothic" w:cs="Arial"/>
        </w:rPr>
        <w:t xml:space="preserve"> Dirección de Potencial Humano tien</w:t>
      </w:r>
      <w:r w:rsidR="00E53903" w:rsidRPr="00FA7341">
        <w:rPr>
          <w:rFonts w:ascii="Century Gothic" w:hAnsi="Century Gothic" w:cs="Arial"/>
        </w:rPr>
        <w:t>e</w:t>
      </w:r>
      <w:r w:rsidRPr="00FA7341">
        <w:rPr>
          <w:rFonts w:ascii="Century Gothic" w:hAnsi="Century Gothic" w:cs="Arial"/>
        </w:rPr>
        <w:t xml:space="preserve"> d</w:t>
      </w:r>
      <w:r w:rsidR="007369E7" w:rsidRPr="00FA7341">
        <w:rPr>
          <w:rFonts w:ascii="Century Gothic" w:hAnsi="Century Gothic" w:cs="Arial"/>
        </w:rPr>
        <w:t>entro de sus objetivos, según el artículo 9</w:t>
      </w:r>
      <w:r w:rsidRPr="00FA7341">
        <w:rPr>
          <w:rFonts w:ascii="Century Gothic" w:hAnsi="Century Gothic" w:cs="Arial"/>
        </w:rPr>
        <w:t>6</w:t>
      </w:r>
      <w:r w:rsidR="007369E7" w:rsidRPr="00FA7341">
        <w:rPr>
          <w:rFonts w:ascii="Century Gothic" w:hAnsi="Century Gothic" w:cs="Arial"/>
        </w:rPr>
        <w:t xml:space="preserve"> del Decreto Ordenanzal citado, encontramos: </w:t>
      </w:r>
    </w:p>
    <w:p w14:paraId="1284AC1D" w14:textId="77777777" w:rsidR="00E53903" w:rsidRPr="00FA7341" w:rsidRDefault="00E53903" w:rsidP="007369E7">
      <w:pPr>
        <w:spacing w:after="0"/>
        <w:jc w:val="both"/>
        <w:rPr>
          <w:rFonts w:ascii="Century Gothic" w:hAnsi="Century Gothic" w:cs="Arial"/>
        </w:rPr>
      </w:pPr>
    </w:p>
    <w:p w14:paraId="4C07CBEA" w14:textId="2CD3ACE6" w:rsidR="00E53903" w:rsidRPr="00FA7341" w:rsidRDefault="00E53903" w:rsidP="00E53903">
      <w:pPr>
        <w:spacing w:after="0"/>
        <w:jc w:val="both"/>
        <w:rPr>
          <w:rFonts w:ascii="Century Gothic" w:hAnsi="Century Gothic" w:cs="Arial"/>
        </w:rPr>
      </w:pPr>
      <w:r w:rsidRPr="00FA7341">
        <w:rPr>
          <w:rFonts w:ascii="Century Gothic" w:hAnsi="Century Gothic" w:cs="Arial"/>
        </w:rPr>
        <w:lastRenderedPageBreak/>
        <w:t>“(…)</w:t>
      </w:r>
    </w:p>
    <w:p w14:paraId="60123507" w14:textId="77777777" w:rsidR="00E53903" w:rsidRPr="00FA7341" w:rsidRDefault="00E53903" w:rsidP="00E53903">
      <w:pPr>
        <w:spacing w:after="0"/>
        <w:jc w:val="both"/>
        <w:rPr>
          <w:rFonts w:ascii="Century Gothic" w:hAnsi="Century Gothic" w:cs="Arial"/>
        </w:rPr>
      </w:pPr>
    </w:p>
    <w:p w14:paraId="7BC9D0B3" w14:textId="620ED964" w:rsidR="00E53903" w:rsidRPr="00FA7341" w:rsidRDefault="00E53903" w:rsidP="00E53903">
      <w:pPr>
        <w:pStyle w:val="Prrafodelista"/>
        <w:numPr>
          <w:ilvl w:val="0"/>
          <w:numId w:val="25"/>
        </w:numPr>
        <w:autoSpaceDE w:val="0"/>
        <w:autoSpaceDN w:val="0"/>
        <w:adjustRightInd w:val="0"/>
        <w:spacing w:after="0"/>
        <w:ind w:left="0" w:firstLine="0"/>
        <w:jc w:val="both"/>
        <w:rPr>
          <w:rFonts w:ascii="Century Gothic" w:hAnsi="Century Gothic" w:cs="Arial"/>
          <w:color w:val="000000"/>
        </w:rPr>
      </w:pPr>
      <w:r w:rsidRPr="00FA7341">
        <w:rPr>
          <w:rFonts w:ascii="Century Gothic" w:hAnsi="Century Gothic" w:cs="Arial"/>
          <w:color w:val="000000"/>
        </w:rPr>
        <w:t>Diseñar, ejecutar, hacer seguimiento y evaluar los planes anuales institucionales de Capacitación, Bienestar “Estímulos e Incentivos de los servidores públicos pertenecientes a la planta del Sector Central de la Gobernación de Cundinamarca.</w:t>
      </w:r>
    </w:p>
    <w:p w14:paraId="2CB8DFB0" w14:textId="31428469" w:rsidR="00E53903" w:rsidRPr="00397E92" w:rsidRDefault="00E53903" w:rsidP="00397E92">
      <w:pPr>
        <w:pStyle w:val="Prrafodelista"/>
        <w:numPr>
          <w:ilvl w:val="0"/>
          <w:numId w:val="33"/>
        </w:numPr>
        <w:autoSpaceDE w:val="0"/>
        <w:autoSpaceDN w:val="0"/>
        <w:adjustRightInd w:val="0"/>
        <w:spacing w:after="0"/>
        <w:ind w:left="0" w:firstLine="0"/>
        <w:jc w:val="both"/>
        <w:rPr>
          <w:rFonts w:ascii="Century Gothic" w:hAnsi="Century Gothic" w:cs="Arial"/>
          <w:color w:val="000000"/>
        </w:rPr>
      </w:pPr>
      <w:r w:rsidRPr="00397E92">
        <w:rPr>
          <w:rFonts w:ascii="Century Gothic" w:hAnsi="Century Gothic" w:cs="Arial"/>
          <w:color w:val="000000"/>
        </w:rPr>
        <w:t>Promover una identidad Institucional basada en principios de Buen Gobierno Corporativo, el código de integridad y una cultura caracterizada en normas, valores y actitudes, comprendidos e interiorizados por los servidores públicos del Sector Central del Departamento.</w:t>
      </w:r>
    </w:p>
    <w:p w14:paraId="6C2B5014" w14:textId="77777777" w:rsidR="00E53903" w:rsidRPr="00FA7341" w:rsidRDefault="00E53903" w:rsidP="00E53903">
      <w:pPr>
        <w:pStyle w:val="Prrafodelista"/>
        <w:autoSpaceDE w:val="0"/>
        <w:autoSpaceDN w:val="0"/>
        <w:adjustRightInd w:val="0"/>
        <w:spacing w:after="0"/>
        <w:ind w:left="0"/>
        <w:jc w:val="both"/>
        <w:rPr>
          <w:rFonts w:ascii="Century Gothic" w:hAnsi="Century Gothic" w:cs="Arial"/>
          <w:color w:val="000000"/>
        </w:rPr>
      </w:pPr>
    </w:p>
    <w:p w14:paraId="48F441BD" w14:textId="0FE822C0" w:rsidR="00E53903" w:rsidRPr="00FA7341" w:rsidRDefault="00E53903" w:rsidP="00E53903">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15BBCD51" w14:textId="77777777" w:rsidR="00E53903" w:rsidRPr="00FA7341" w:rsidRDefault="00E53903" w:rsidP="00E53903">
      <w:pPr>
        <w:autoSpaceDE w:val="0"/>
        <w:autoSpaceDN w:val="0"/>
        <w:adjustRightInd w:val="0"/>
        <w:spacing w:after="0"/>
        <w:jc w:val="both"/>
        <w:rPr>
          <w:rFonts w:ascii="Century Gothic" w:hAnsi="Century Gothic" w:cs="Arial"/>
          <w:color w:val="000000"/>
        </w:rPr>
      </w:pPr>
    </w:p>
    <w:p w14:paraId="4C7E45D3" w14:textId="0DADCE3F" w:rsidR="00E53903" w:rsidRPr="00FA7341" w:rsidRDefault="00E53903" w:rsidP="00983551">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A su vez, en el artículo 94 del mencionado decreto, se le asignaron a la Oficina Asesora Jurídica y de Relación Laboral Individual y Colectiva, las siguientes funciones en su área de contratación:</w:t>
      </w:r>
    </w:p>
    <w:p w14:paraId="7AFF3F7B" w14:textId="77777777" w:rsidR="00E53903" w:rsidRPr="00FA7341" w:rsidRDefault="00E53903" w:rsidP="00E53903">
      <w:pPr>
        <w:autoSpaceDE w:val="0"/>
        <w:autoSpaceDN w:val="0"/>
        <w:adjustRightInd w:val="0"/>
        <w:spacing w:after="0"/>
        <w:jc w:val="both"/>
        <w:rPr>
          <w:rFonts w:ascii="Century Gothic" w:eastAsia="Arial" w:hAnsi="Century Gothic" w:cs="Arial"/>
        </w:rPr>
      </w:pPr>
    </w:p>
    <w:p w14:paraId="24B9A490" w14:textId="1C2B8BB6" w:rsidR="00E53903" w:rsidRPr="00FA7341" w:rsidRDefault="00E53903" w:rsidP="00E53903">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2D0EE816" w14:textId="77777777" w:rsidR="00E53903" w:rsidRPr="00FA7341" w:rsidRDefault="00E53903" w:rsidP="00E53903">
      <w:pPr>
        <w:autoSpaceDE w:val="0"/>
        <w:autoSpaceDN w:val="0"/>
        <w:adjustRightInd w:val="0"/>
        <w:spacing w:after="0"/>
        <w:jc w:val="both"/>
        <w:rPr>
          <w:rFonts w:ascii="Century Gothic" w:hAnsi="Century Gothic" w:cs="Arial"/>
          <w:color w:val="000000"/>
        </w:rPr>
      </w:pPr>
    </w:p>
    <w:p w14:paraId="33353096" w14:textId="5BBD8EA7" w:rsidR="00E53903" w:rsidRPr="00FA7341" w:rsidRDefault="00983551" w:rsidP="00AF0FA2">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1. </w:t>
      </w:r>
      <w:r w:rsidR="00AF0FA2" w:rsidRPr="00FA7341">
        <w:rPr>
          <w:rFonts w:ascii="Century Gothic" w:hAnsi="Century Gothic" w:cs="Arial"/>
          <w:color w:val="000000"/>
        </w:rPr>
        <w:t xml:space="preserve"> </w:t>
      </w:r>
      <w:r w:rsidR="00E53903" w:rsidRPr="00FA7341">
        <w:rPr>
          <w:rFonts w:ascii="Century Gothic" w:hAnsi="Century Gothic" w:cs="Arial"/>
          <w:color w:val="000000"/>
        </w:rPr>
        <w:t xml:space="preserve">Asistir y al Departamento Administrativo de Función Pública de Cundinamarca en asuntos jurídicos y de contratación. </w:t>
      </w:r>
    </w:p>
    <w:p w14:paraId="4C2E9C76" w14:textId="00BC8817" w:rsidR="00E53903" w:rsidRPr="00FA7341" w:rsidRDefault="00E53903" w:rsidP="00AF0FA2">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8. </w:t>
      </w:r>
      <w:r w:rsidR="00AF0FA2" w:rsidRPr="00FA7341">
        <w:rPr>
          <w:rFonts w:ascii="Century Gothic" w:hAnsi="Century Gothic" w:cs="Arial"/>
          <w:color w:val="000000"/>
        </w:rPr>
        <w:t xml:space="preserve"> </w:t>
      </w:r>
      <w:r w:rsidRPr="00FA7341">
        <w:rPr>
          <w:rFonts w:ascii="Century Gothic" w:hAnsi="Century Gothic" w:cs="Arial"/>
          <w:color w:val="000000"/>
        </w:rPr>
        <w:t xml:space="preserve">Adelantar los trámites y procedimientos de naturaleza jurídica y administrativa, relacionados con las etapas precontractual, contractual y </w:t>
      </w:r>
      <w:proofErr w:type="spellStart"/>
      <w:r w:rsidRPr="00FA7341">
        <w:rPr>
          <w:rFonts w:ascii="Century Gothic" w:hAnsi="Century Gothic" w:cs="Arial"/>
          <w:color w:val="000000"/>
        </w:rPr>
        <w:t>postcontractual</w:t>
      </w:r>
      <w:proofErr w:type="spellEnd"/>
      <w:r w:rsidRPr="00FA7341">
        <w:rPr>
          <w:rFonts w:ascii="Century Gothic" w:hAnsi="Century Gothic" w:cs="Arial"/>
          <w:color w:val="000000"/>
        </w:rPr>
        <w:t>, de conformidad con la normatividad, los lineamientos impartidos por el Despacho del Departamento Administrativo y las directrices de la Dirección de Contratación.</w:t>
      </w:r>
    </w:p>
    <w:p w14:paraId="1F8790B0" w14:textId="08961551" w:rsidR="00E53903" w:rsidRPr="00FA7341" w:rsidRDefault="00983551" w:rsidP="00AF0FA2">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13. </w:t>
      </w:r>
      <w:r w:rsidR="00AF0FA2" w:rsidRPr="00FA7341">
        <w:rPr>
          <w:rFonts w:ascii="Century Gothic" w:hAnsi="Century Gothic" w:cs="Arial"/>
          <w:color w:val="000000"/>
        </w:rPr>
        <w:t xml:space="preserve"> </w:t>
      </w:r>
      <w:r w:rsidR="00E53903" w:rsidRPr="00FA7341">
        <w:rPr>
          <w:rFonts w:ascii="Century Gothic" w:hAnsi="Century Gothic" w:cs="Arial"/>
          <w:color w:val="000000"/>
        </w:rPr>
        <w:t>Hacer seguimiento y velar por el cumplimiento por parte de la administración de los acuerdos y convenciones colectivas perfeccionados con las organizaciones sindicales.</w:t>
      </w:r>
    </w:p>
    <w:p w14:paraId="00CD8D45" w14:textId="77777777" w:rsidR="007369E7" w:rsidRPr="00FA7341" w:rsidRDefault="007369E7" w:rsidP="007369E7">
      <w:pPr>
        <w:autoSpaceDE w:val="0"/>
        <w:autoSpaceDN w:val="0"/>
        <w:adjustRightInd w:val="0"/>
        <w:spacing w:after="0"/>
        <w:rPr>
          <w:rFonts w:ascii="Century Gothic" w:hAnsi="Century Gothic" w:cs="Arial"/>
          <w:color w:val="000000"/>
        </w:rPr>
      </w:pPr>
    </w:p>
    <w:p w14:paraId="489E526B"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t>Que la obligación de suministrar la dotación de vestido y calzado de labor constituye una manifestación concreta de los principios constitucionales que orientan las relaciones laborales en el sector público, particularmente los contenidos en los artículos 1, 2, 25, 53 y 209 de la Constitución Política.</w:t>
      </w:r>
    </w:p>
    <w:p w14:paraId="7CCCA789" w14:textId="77777777" w:rsidR="00041903" w:rsidRPr="00041903" w:rsidRDefault="00041903" w:rsidP="00041903">
      <w:pPr>
        <w:spacing w:after="0" w:line="240" w:lineRule="auto"/>
        <w:jc w:val="both"/>
        <w:rPr>
          <w:rFonts w:ascii="Century Gothic" w:hAnsi="Century Gothic" w:cs="Arial"/>
          <w:color w:val="000000"/>
        </w:rPr>
      </w:pPr>
    </w:p>
    <w:p w14:paraId="52443CB6"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t>Que el artículo 25 de la Constitución establece que el trabajo es un derecho y una obligación social que goza, en todas sus modalidades, de la especial protección del Estado, debiendo desarrollarse en condiciones dignas y justas. En concordancia con ello, el artículo 53 Superior consagra como principios mínimos fundamentales la garantía de condiciones laborales adecuadas para los trabajadores.</w:t>
      </w:r>
    </w:p>
    <w:p w14:paraId="1ED9FB65" w14:textId="77777777" w:rsidR="00041903" w:rsidRPr="00041903" w:rsidRDefault="00041903" w:rsidP="00041903">
      <w:pPr>
        <w:spacing w:after="0" w:line="240" w:lineRule="auto"/>
        <w:jc w:val="both"/>
        <w:rPr>
          <w:rFonts w:ascii="Century Gothic" w:hAnsi="Century Gothic" w:cs="Arial"/>
          <w:color w:val="000000"/>
        </w:rPr>
      </w:pPr>
    </w:p>
    <w:p w14:paraId="2B8E0D09"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lastRenderedPageBreak/>
        <w:t>La Corte Constitucional definió la naturaleza jurídica de la dotación de calzado y vestido de labor como una prestación social, indicando en la sentencia C-995 de 2000:</w:t>
      </w:r>
    </w:p>
    <w:p w14:paraId="0396E6B8" w14:textId="77777777" w:rsidR="00041903" w:rsidRPr="00041903" w:rsidRDefault="00041903" w:rsidP="00041903">
      <w:pPr>
        <w:spacing w:after="0" w:line="240" w:lineRule="auto"/>
        <w:jc w:val="both"/>
        <w:rPr>
          <w:rFonts w:ascii="Century Gothic" w:hAnsi="Century Gothic" w:cs="Arial"/>
          <w:color w:val="000000"/>
        </w:rPr>
      </w:pPr>
    </w:p>
    <w:p w14:paraId="4F1DC928" w14:textId="77777777" w:rsidR="00041903" w:rsidRPr="00041903" w:rsidRDefault="00041903" w:rsidP="00041903">
      <w:pPr>
        <w:spacing w:after="0" w:line="240" w:lineRule="auto"/>
        <w:jc w:val="both"/>
        <w:rPr>
          <w:rFonts w:ascii="Century Gothic" w:hAnsi="Century Gothic" w:cs="Arial"/>
          <w:i/>
          <w:iCs/>
          <w:color w:val="000000"/>
        </w:rPr>
      </w:pPr>
      <w:r w:rsidRPr="00041903">
        <w:rPr>
          <w:rFonts w:ascii="Century Gothic" w:hAnsi="Century Gothic" w:cs="Arial"/>
          <w:i/>
          <w:iCs/>
          <w:color w:val="000000"/>
        </w:rPr>
        <w:t xml:space="preserve">"La dotación de calzado y vestido de labor como obligación a cargo del empleador y a favor del trabajador, tiene la naturaleza jurídica de prestación social en cuanto consiste en un pago en especie hecho con el fin de cubrir la necesidad de indumentaria que se origina en la misma relación laboral". </w:t>
      </w:r>
    </w:p>
    <w:p w14:paraId="44BAD2BB" w14:textId="77777777" w:rsidR="00041903" w:rsidRPr="00041903" w:rsidRDefault="00041903" w:rsidP="00041903">
      <w:pPr>
        <w:spacing w:after="0" w:line="240" w:lineRule="auto"/>
        <w:jc w:val="both"/>
        <w:rPr>
          <w:rFonts w:ascii="Century Gothic" w:hAnsi="Century Gothic" w:cs="Arial"/>
          <w:color w:val="000000"/>
        </w:rPr>
      </w:pPr>
    </w:p>
    <w:p w14:paraId="4E33298C"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t>El Consejo de Estado, Sección Segunda, Sentencia del 15 de julio de 2021, Rad. 66001-23-33-000-2016-00951-01:</w:t>
      </w:r>
    </w:p>
    <w:p w14:paraId="1BCDC2FE" w14:textId="77777777" w:rsidR="00041903" w:rsidRPr="00041903" w:rsidRDefault="00041903" w:rsidP="00041903">
      <w:pPr>
        <w:spacing w:after="0" w:line="240" w:lineRule="auto"/>
        <w:jc w:val="both"/>
        <w:rPr>
          <w:rFonts w:ascii="Century Gothic" w:hAnsi="Century Gothic" w:cs="Arial"/>
          <w:color w:val="000000"/>
        </w:rPr>
      </w:pPr>
    </w:p>
    <w:p w14:paraId="3FBE49AA"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t xml:space="preserve">Reiteró que la dotación de calzado y vestido de labor constituye una prestación social y acogió la postura de la Corte Constitucional fijada en la Sentencia C-995 de 2000, destacando que su finalidad es cubrir las necesidades de indumentaria derivadas de la relación laboral y garantizar condiciones adecuadas para el desempeño de las funciones asignadas. </w:t>
      </w:r>
    </w:p>
    <w:p w14:paraId="021CCBDD" w14:textId="77777777" w:rsidR="00041903" w:rsidRPr="00041903" w:rsidRDefault="00041903" w:rsidP="00041903">
      <w:pPr>
        <w:spacing w:after="0" w:line="240" w:lineRule="auto"/>
        <w:jc w:val="both"/>
        <w:rPr>
          <w:rFonts w:ascii="Century Gothic" w:hAnsi="Century Gothic" w:cs="Arial"/>
          <w:color w:val="000000"/>
        </w:rPr>
      </w:pPr>
    </w:p>
    <w:p w14:paraId="25C58D3E" w14:textId="77777777" w:rsidR="00041903" w:rsidRPr="00041903" w:rsidRDefault="00041903" w:rsidP="00041903">
      <w:pPr>
        <w:spacing w:after="0" w:line="240" w:lineRule="auto"/>
        <w:jc w:val="both"/>
        <w:rPr>
          <w:rFonts w:ascii="Century Gothic" w:hAnsi="Century Gothic" w:cs="Arial"/>
          <w:color w:val="000000"/>
        </w:rPr>
      </w:pPr>
      <w:r w:rsidRPr="00041903">
        <w:rPr>
          <w:rFonts w:ascii="Century Gothic" w:hAnsi="Century Gothic" w:cs="Arial"/>
          <w:color w:val="000000"/>
        </w:rPr>
        <w:t xml:space="preserve">Que de conformidad con el artículo 1º de la Ley No. 70 del 19 de diciembre de 1988, el cual establece que </w:t>
      </w:r>
      <w:r w:rsidRPr="00041903">
        <w:rPr>
          <w:rFonts w:ascii="Century Gothic" w:hAnsi="Century Gothic" w:cs="Arial"/>
          <w:color w:val="000000"/>
          <w:u w:val="single"/>
        </w:rPr>
        <w:t xml:space="preserve">“los empleados del sector oficial que trabajan al servicio de los Ministerios, Departamentos Administrativos, Superintendencias, Establecimientos Públicos, Unidades Administrativas Especiales, Empresas Industriales o Comerciales de tipo oficial y sociedades de economía mixta, tendrán derecho a que la entidad con que laboran les suministre cada cuatro (4) meses, en forma gratuita, un par de zapatos y un (1) vestido de labor, siempre que su remuneración mensual sea inferior a dos (2) veces el Salario Mínimo Legal Mensual Vigente. Esta prestación se reconocerá al empleado oficial que haya cumplido más de tres (3) meses al servicio de la entidad empleadora”, </w:t>
      </w:r>
      <w:r w:rsidRPr="00041903">
        <w:rPr>
          <w:rFonts w:ascii="Century Gothic" w:hAnsi="Century Gothic" w:cs="Arial"/>
          <w:color w:val="000000"/>
        </w:rPr>
        <w:t xml:space="preserve">en forma ininterrumpida antes de la fecha de cada suministro”, la cual deberá hacerse los días 30 de abril, 30 de agosto y 30 de diciembre de cada año. </w:t>
      </w:r>
    </w:p>
    <w:p w14:paraId="26C84098" w14:textId="77777777" w:rsidR="00041903" w:rsidRPr="00041903" w:rsidRDefault="00041903" w:rsidP="00041903">
      <w:pPr>
        <w:spacing w:after="0" w:line="240" w:lineRule="auto"/>
        <w:jc w:val="both"/>
        <w:rPr>
          <w:rFonts w:ascii="Century Gothic" w:hAnsi="Century Gothic" w:cs="Arial"/>
          <w:color w:val="000000"/>
        </w:rPr>
      </w:pPr>
    </w:p>
    <w:p w14:paraId="268ED9DA" w14:textId="298853BE" w:rsidR="006D7E1C" w:rsidRPr="00FA7341" w:rsidRDefault="00041903" w:rsidP="00041903">
      <w:pPr>
        <w:spacing w:after="0" w:line="240" w:lineRule="auto"/>
        <w:jc w:val="both"/>
        <w:rPr>
          <w:rFonts w:ascii="Century Gothic" w:hAnsi="Century Gothic" w:cs="Arial"/>
          <w:color w:val="000000"/>
        </w:rPr>
      </w:pPr>
      <w:r w:rsidRPr="00FA7341">
        <w:rPr>
          <w:rFonts w:ascii="Century Gothic" w:hAnsi="Century Gothic" w:cs="Arial"/>
          <w:color w:val="000000"/>
        </w:rPr>
        <w:t>Así mismo, el artículo 4 del Decreto No. 1978 del 31 de agosto de 1989, señala que la remuneración a efectos de tener derecho a la dotación corresponde a la asignación básica mensual; que se consideran como calzado y vestido de labor, las prendas apropiadas para la clase de labores que desempeñen los trabajadores beneficiarios, de acuerdo con el medio ambiente en donde cumplen sus actividades y, que los beneficiarios de la dotación quedan obligados a recibirlos debidamente y a destinarlos a su uso en las labores propias de su oficio, so pena de liberar a la empresa de la obligación correspondiente.</w:t>
      </w:r>
    </w:p>
    <w:p w14:paraId="06165E85" w14:textId="77777777" w:rsidR="00041903" w:rsidRPr="00FA7341" w:rsidRDefault="00041903" w:rsidP="00041903">
      <w:pPr>
        <w:spacing w:after="0" w:line="240" w:lineRule="auto"/>
        <w:jc w:val="both"/>
        <w:rPr>
          <w:rFonts w:ascii="Century Gothic" w:hAnsi="Century Gothic" w:cs="Arial"/>
        </w:rPr>
      </w:pPr>
    </w:p>
    <w:p w14:paraId="5DA114FD" w14:textId="77777777" w:rsidR="005D79F7" w:rsidRPr="00FA7341" w:rsidRDefault="005D79F7" w:rsidP="007369E7">
      <w:pPr>
        <w:pStyle w:val="Ttulo2"/>
        <w:widowControl w:val="0"/>
        <w:numPr>
          <w:ilvl w:val="1"/>
          <w:numId w:val="1"/>
        </w:numPr>
        <w:shd w:val="clear" w:color="auto" w:fill="002060"/>
        <w:autoSpaceDE w:val="0"/>
        <w:autoSpaceDN w:val="0"/>
        <w:spacing w:before="0" w:line="240" w:lineRule="auto"/>
        <w:rPr>
          <w:rFonts w:ascii="Century Gothic" w:hAnsi="Century Gothic" w:cs="Arial"/>
          <w:color w:val="FFFFFF"/>
          <w:sz w:val="22"/>
          <w:szCs w:val="22"/>
        </w:rPr>
      </w:pPr>
      <w:bookmarkStart w:id="2" w:name="_Toc232673888"/>
      <w:r w:rsidRPr="00FA7341">
        <w:rPr>
          <w:rFonts w:ascii="Century Gothic" w:hAnsi="Century Gothic" w:cs="Arial"/>
          <w:color w:val="FFFFFF"/>
          <w:sz w:val="22"/>
          <w:szCs w:val="22"/>
        </w:rPr>
        <w:t>IDENTIFICACIÓN DEL SECTOR</w:t>
      </w:r>
      <w:bookmarkEnd w:id="2"/>
    </w:p>
    <w:p w14:paraId="07AF17CA" w14:textId="77777777" w:rsidR="005D79F7" w:rsidRPr="00FA7341" w:rsidRDefault="005D79F7" w:rsidP="007369E7">
      <w:pPr>
        <w:spacing w:after="0" w:line="240" w:lineRule="auto"/>
        <w:jc w:val="both"/>
        <w:rPr>
          <w:rFonts w:ascii="Century Gothic" w:hAnsi="Century Gothic" w:cs="Arial"/>
          <w:highlight w:val="yellow"/>
        </w:rPr>
      </w:pPr>
    </w:p>
    <w:p w14:paraId="633046BF" w14:textId="77777777"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lastRenderedPageBreak/>
        <w:t>En el entendido que la Entidad requiere conocer las características del sector con el propósito de establecer el contexto del Proceso de Contratación, para su análisis e identificar algunos de los Riesgos y determinar los requisitos habilitantes de carácter financiero o especiales relativo al objeto del Proceso de Contratación, es necesario establecer y conocer las características de cada sector, apoyándose en las siguiente definiciones establecidas por la red cultural del banco de la república</w:t>
      </w:r>
      <w:r w:rsidRPr="00FA7341">
        <w:rPr>
          <w:rFonts w:ascii="Century Gothic" w:hAnsi="Century Gothic" w:cs="Arial"/>
          <w:color w:val="000000"/>
          <w:vertAlign w:val="superscript"/>
        </w:rPr>
        <w:footnoteReference w:id="2"/>
      </w:r>
      <w:r w:rsidRPr="00FA7341">
        <w:rPr>
          <w:rFonts w:ascii="Century Gothic" w:hAnsi="Century Gothic" w:cs="Arial"/>
          <w:color w:val="000000"/>
        </w:rPr>
        <w:t xml:space="preserve"> en donde se define que </w:t>
      </w:r>
      <w:r w:rsidRPr="00FA7341">
        <w:rPr>
          <w:rFonts w:ascii="Century Gothic" w:hAnsi="Century Gothic" w:cs="Arial"/>
          <w:i/>
          <w:iCs/>
          <w:color w:val="000000"/>
        </w:rPr>
        <w:t>“la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w:t>
      </w:r>
    </w:p>
    <w:p w14:paraId="4E16E73A" w14:textId="77777777" w:rsidR="005D79F7" w:rsidRPr="00FA7341" w:rsidRDefault="005D79F7" w:rsidP="007369E7">
      <w:pPr>
        <w:spacing w:after="0" w:line="240" w:lineRule="auto"/>
        <w:jc w:val="both"/>
        <w:rPr>
          <w:rFonts w:ascii="Century Gothic" w:hAnsi="Century Gothic" w:cs="Arial"/>
          <w:color w:val="000000"/>
        </w:rPr>
      </w:pPr>
    </w:p>
    <w:p w14:paraId="5FB16DBE" w14:textId="77777777"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t>Igualmente, establece que, según la división de la economía clásica, los sectores de la economía son los siguientes:</w:t>
      </w:r>
    </w:p>
    <w:p w14:paraId="34CBEB6A" w14:textId="77777777" w:rsidR="005D79F7" w:rsidRPr="00FA7341" w:rsidRDefault="005D79F7" w:rsidP="007369E7">
      <w:pPr>
        <w:spacing w:after="0" w:line="240" w:lineRule="auto"/>
        <w:jc w:val="both"/>
        <w:rPr>
          <w:rFonts w:ascii="Century Gothic" w:hAnsi="Century Gothic" w:cs="Arial"/>
          <w:color w:val="000000"/>
        </w:rPr>
      </w:pPr>
    </w:p>
    <w:p w14:paraId="0E130FBC" w14:textId="77777777" w:rsidR="005D79F7" w:rsidRPr="00FA7341" w:rsidRDefault="005D79F7" w:rsidP="007369E7">
      <w:pPr>
        <w:numPr>
          <w:ilvl w:val="0"/>
          <w:numId w:val="2"/>
        </w:numPr>
        <w:spacing w:after="0" w:line="240" w:lineRule="auto"/>
        <w:jc w:val="both"/>
        <w:rPr>
          <w:rFonts w:ascii="Century Gothic" w:hAnsi="Century Gothic" w:cs="Arial"/>
          <w:color w:val="000000"/>
        </w:rPr>
      </w:pPr>
      <w:r w:rsidRPr="00FA7341">
        <w:rPr>
          <w:rFonts w:ascii="Century Gothic" w:hAnsi="Century Gothic" w:cs="Arial"/>
          <w:b/>
          <w:color w:val="000000"/>
        </w:rPr>
        <w:t>Sector primario o sector agropecuario:</w:t>
      </w:r>
      <w:r w:rsidRPr="00FA7341">
        <w:rPr>
          <w:rFonts w:ascii="Century Gothic" w:hAnsi="Century Gothic" w:cs="Arial"/>
          <w:color w:val="000000"/>
        </w:rPr>
        <w:t xml:space="preserve"> 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0C4F6B0E" w14:textId="77777777" w:rsidR="005D79F7" w:rsidRPr="00FA7341" w:rsidRDefault="005D79F7" w:rsidP="007369E7">
      <w:pPr>
        <w:spacing w:after="0" w:line="240" w:lineRule="auto"/>
        <w:ind w:left="720"/>
        <w:jc w:val="both"/>
        <w:rPr>
          <w:rFonts w:ascii="Century Gothic" w:hAnsi="Century Gothic" w:cs="Arial"/>
          <w:color w:val="000000"/>
        </w:rPr>
      </w:pPr>
    </w:p>
    <w:p w14:paraId="5DCA9DB3" w14:textId="77777777" w:rsidR="005D79F7" w:rsidRPr="00FA7341" w:rsidRDefault="005D79F7" w:rsidP="007369E7">
      <w:pPr>
        <w:numPr>
          <w:ilvl w:val="0"/>
          <w:numId w:val="2"/>
        </w:numPr>
        <w:spacing w:after="0" w:line="240" w:lineRule="auto"/>
        <w:jc w:val="both"/>
        <w:rPr>
          <w:rFonts w:ascii="Century Gothic" w:hAnsi="Century Gothic" w:cs="Arial"/>
          <w:color w:val="000000"/>
        </w:rPr>
      </w:pPr>
      <w:r w:rsidRPr="00FA7341">
        <w:rPr>
          <w:rFonts w:ascii="Century Gothic" w:hAnsi="Century Gothic" w:cs="Arial"/>
          <w:b/>
          <w:color w:val="000000"/>
        </w:rPr>
        <w:t>Sector secundario o sector Industrial:</w:t>
      </w:r>
      <w:r w:rsidRPr="00FA7341">
        <w:rPr>
          <w:rFonts w:ascii="Century Gothic" w:hAnsi="Century Gothic" w:cs="Arial"/>
          <w:color w:val="000000"/>
        </w:rPr>
        <w:t xml:space="preserve"> Comprende todas las actividades económicas de un país relacionadas con la transformación industrial de los alimentos y otros tipos de bienes o mercancías, los cuales se utilizan como base para la fabricación de nuevos productos.</w:t>
      </w:r>
    </w:p>
    <w:p w14:paraId="4110BCE9" w14:textId="77777777" w:rsidR="005D79F7" w:rsidRPr="00FA7341" w:rsidRDefault="005D79F7" w:rsidP="007369E7">
      <w:pPr>
        <w:spacing w:after="0" w:line="240" w:lineRule="auto"/>
        <w:ind w:left="720"/>
        <w:jc w:val="both"/>
        <w:rPr>
          <w:rFonts w:ascii="Century Gothic" w:hAnsi="Century Gothic" w:cs="Arial"/>
          <w:color w:val="000000"/>
        </w:rPr>
      </w:pPr>
    </w:p>
    <w:p w14:paraId="3A2C0B2A" w14:textId="77777777"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t>Se divide en dos subsectores: industrial extractivo e industrial de transformación:</w:t>
      </w:r>
    </w:p>
    <w:p w14:paraId="46B51FE7" w14:textId="77777777" w:rsidR="005D79F7" w:rsidRPr="00FA7341" w:rsidRDefault="005D79F7" w:rsidP="007369E7">
      <w:pPr>
        <w:spacing w:after="0" w:line="240" w:lineRule="auto"/>
        <w:jc w:val="both"/>
        <w:rPr>
          <w:rFonts w:ascii="Century Gothic" w:hAnsi="Century Gothic" w:cs="Arial"/>
          <w:color w:val="000000"/>
        </w:rPr>
      </w:pPr>
    </w:p>
    <w:p w14:paraId="2D95ABFF" w14:textId="77777777" w:rsidR="005D79F7" w:rsidRPr="00FA7341" w:rsidRDefault="005D79F7" w:rsidP="007369E7">
      <w:pPr>
        <w:numPr>
          <w:ilvl w:val="1"/>
          <w:numId w:val="2"/>
        </w:numPr>
        <w:spacing w:after="0" w:line="240" w:lineRule="auto"/>
        <w:jc w:val="both"/>
        <w:rPr>
          <w:rFonts w:ascii="Century Gothic" w:hAnsi="Century Gothic" w:cs="Arial"/>
          <w:color w:val="000000"/>
        </w:rPr>
      </w:pPr>
      <w:r w:rsidRPr="00FA7341">
        <w:rPr>
          <w:rFonts w:ascii="Century Gothic" w:hAnsi="Century Gothic" w:cs="Arial"/>
          <w:color w:val="000000"/>
        </w:rPr>
        <w:t xml:space="preserve"> </w:t>
      </w:r>
      <w:r w:rsidRPr="00FA7341">
        <w:rPr>
          <w:rFonts w:ascii="Century Gothic" w:hAnsi="Century Gothic" w:cs="Arial"/>
          <w:b/>
          <w:color w:val="000000"/>
        </w:rPr>
        <w:t>Industrial extractivo:</w:t>
      </w:r>
      <w:r w:rsidRPr="00FA7341">
        <w:rPr>
          <w:rFonts w:ascii="Century Gothic" w:hAnsi="Century Gothic" w:cs="Arial"/>
          <w:color w:val="000000"/>
        </w:rPr>
        <w:t xml:space="preserve"> extracción minera y de petróleo.</w:t>
      </w:r>
    </w:p>
    <w:p w14:paraId="61F42FA0" w14:textId="77777777" w:rsidR="002D56BA" w:rsidRPr="00FA7341" w:rsidRDefault="002D56BA" w:rsidP="007369E7">
      <w:pPr>
        <w:spacing w:after="0" w:line="240" w:lineRule="auto"/>
        <w:ind w:left="360"/>
        <w:jc w:val="both"/>
        <w:rPr>
          <w:rFonts w:ascii="Century Gothic" w:hAnsi="Century Gothic" w:cs="Arial"/>
          <w:color w:val="000000"/>
        </w:rPr>
      </w:pPr>
    </w:p>
    <w:p w14:paraId="6FD3ECBB" w14:textId="77777777" w:rsidR="005D79F7" w:rsidRPr="00FA7341" w:rsidRDefault="005D79F7" w:rsidP="007369E7">
      <w:pPr>
        <w:numPr>
          <w:ilvl w:val="1"/>
          <w:numId w:val="2"/>
        </w:numPr>
        <w:spacing w:after="0" w:line="240" w:lineRule="auto"/>
        <w:jc w:val="both"/>
        <w:rPr>
          <w:rFonts w:ascii="Century Gothic" w:hAnsi="Century Gothic" w:cs="Arial"/>
          <w:color w:val="000000"/>
        </w:rPr>
      </w:pPr>
      <w:r w:rsidRPr="00FA7341">
        <w:rPr>
          <w:rFonts w:ascii="Century Gothic" w:hAnsi="Century Gothic" w:cs="Arial"/>
          <w:b/>
          <w:color w:val="000000"/>
        </w:rPr>
        <w:t>Industrial de transformación:</w:t>
      </w:r>
      <w:r w:rsidRPr="00FA7341">
        <w:rPr>
          <w:rFonts w:ascii="Century Gothic" w:hAnsi="Century Gothic" w:cs="Arial"/>
          <w:color w:val="000000"/>
        </w:rPr>
        <w:t xml:space="preserve"> envasado de legumbres y frutas, embotellado de refrescos, fabricación de abonos y fertilizantes, vehículos, cementos, aparatos electrodomésticos, etc.</w:t>
      </w:r>
    </w:p>
    <w:p w14:paraId="302DB972" w14:textId="77777777" w:rsidR="005D79F7" w:rsidRPr="00FA7341" w:rsidRDefault="005D79F7" w:rsidP="007369E7">
      <w:pPr>
        <w:spacing w:after="0" w:line="240" w:lineRule="auto"/>
        <w:ind w:left="360"/>
        <w:jc w:val="both"/>
        <w:rPr>
          <w:rFonts w:ascii="Century Gothic" w:hAnsi="Century Gothic" w:cs="Arial"/>
          <w:color w:val="000000"/>
        </w:rPr>
      </w:pPr>
    </w:p>
    <w:p w14:paraId="65301976" w14:textId="77777777" w:rsidR="005D79F7" w:rsidRPr="00FA7341" w:rsidRDefault="005D79F7" w:rsidP="007369E7">
      <w:pPr>
        <w:numPr>
          <w:ilvl w:val="0"/>
          <w:numId w:val="2"/>
        </w:numPr>
        <w:spacing w:after="0" w:line="240" w:lineRule="auto"/>
        <w:jc w:val="both"/>
        <w:rPr>
          <w:rFonts w:ascii="Century Gothic" w:hAnsi="Century Gothic" w:cs="Arial"/>
          <w:color w:val="000000"/>
        </w:rPr>
      </w:pPr>
      <w:r w:rsidRPr="00FA7341">
        <w:rPr>
          <w:rFonts w:ascii="Century Gothic" w:hAnsi="Century Gothic" w:cs="Arial"/>
          <w:b/>
          <w:color w:val="000000"/>
        </w:rPr>
        <w:t>Sector terciario o sector de servicios.</w:t>
      </w:r>
      <w:r w:rsidRPr="00FA7341">
        <w:rPr>
          <w:rFonts w:ascii="Century Gothic" w:hAnsi="Century Gothic" w:cs="Arial"/>
          <w:color w:val="000000"/>
        </w:rPr>
        <w:t xml:space="preserve"> 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 Es indispensable aclarar que los dos primeros sectores producen bienes tangibles, </w:t>
      </w:r>
      <w:r w:rsidRPr="00FA7341">
        <w:rPr>
          <w:rFonts w:ascii="Century Gothic" w:hAnsi="Century Gothic" w:cs="Arial"/>
          <w:color w:val="000000"/>
        </w:rPr>
        <w:lastRenderedPageBreak/>
        <w:t>por lo cual son considerados como sectores productivos. El tercer sector se considera no productivo, puesto que no produce bienes tangibles, pero, sin embargo, contribuye a la formación del ingreso nacional y del producto nacional.</w:t>
      </w:r>
    </w:p>
    <w:p w14:paraId="014DB5EA" w14:textId="77777777" w:rsidR="005D79F7" w:rsidRPr="00FA7341" w:rsidRDefault="005D79F7" w:rsidP="007369E7">
      <w:pPr>
        <w:spacing w:after="0" w:line="240" w:lineRule="auto"/>
        <w:jc w:val="both"/>
        <w:rPr>
          <w:rFonts w:ascii="Century Gothic" w:hAnsi="Century Gothic" w:cs="Arial"/>
          <w:color w:val="000000"/>
        </w:rPr>
      </w:pPr>
    </w:p>
    <w:p w14:paraId="1D4870A8" w14:textId="77777777"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t>Aunque los sectores anteriormente indicados son aquellos que la teoría económica menciona como sectores de la economía, es común que las actividades económicas se diferencien aún más dependiendo de su especialización. Lo anterior da origen a los siguientes sectores económicos, los cuales son:</w:t>
      </w:r>
    </w:p>
    <w:p w14:paraId="7F169BAB" w14:textId="77777777" w:rsidR="005D79F7" w:rsidRPr="00FA7341" w:rsidRDefault="005D79F7" w:rsidP="007369E7">
      <w:pPr>
        <w:spacing w:after="0" w:line="240" w:lineRule="auto"/>
        <w:jc w:val="both"/>
        <w:rPr>
          <w:rFonts w:ascii="Century Gothic" w:hAnsi="Century Gothic" w:cs="Arial"/>
          <w:color w:val="000000"/>
        </w:rPr>
      </w:pPr>
    </w:p>
    <w:p w14:paraId="215EF522"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agropecuario:</w:t>
      </w:r>
      <w:r w:rsidRPr="00FA7341">
        <w:rPr>
          <w:rFonts w:ascii="Century Gothic" w:hAnsi="Century Gothic" w:cs="Arial"/>
          <w:color w:val="000000"/>
        </w:rPr>
        <w:t xml:space="preserve"> Corresponde al sector primario mencionado anteriormente.</w:t>
      </w:r>
    </w:p>
    <w:p w14:paraId="52EEDAC3" w14:textId="77777777" w:rsidR="002D56BA" w:rsidRPr="00FA7341" w:rsidRDefault="002D56BA" w:rsidP="007369E7">
      <w:pPr>
        <w:spacing w:after="0" w:line="240" w:lineRule="auto"/>
        <w:ind w:left="720"/>
        <w:jc w:val="both"/>
        <w:rPr>
          <w:rFonts w:ascii="Century Gothic" w:hAnsi="Century Gothic" w:cs="Arial"/>
          <w:color w:val="000000"/>
        </w:rPr>
      </w:pPr>
    </w:p>
    <w:p w14:paraId="304B5AA2"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de servicios:</w:t>
      </w:r>
      <w:r w:rsidRPr="00FA7341">
        <w:rPr>
          <w:rFonts w:ascii="Century Gothic" w:hAnsi="Century Gothic" w:cs="Arial"/>
          <w:color w:val="000000"/>
        </w:rPr>
        <w:t xml:space="preserve"> Corresponde al sector terciario mencionado anteriormente.</w:t>
      </w:r>
    </w:p>
    <w:p w14:paraId="55E0D2FD" w14:textId="77777777" w:rsidR="002D56BA" w:rsidRPr="00FA7341" w:rsidRDefault="002D56BA" w:rsidP="007369E7">
      <w:pPr>
        <w:spacing w:after="0" w:line="240" w:lineRule="auto"/>
        <w:ind w:left="720"/>
        <w:jc w:val="both"/>
        <w:rPr>
          <w:rFonts w:ascii="Century Gothic" w:hAnsi="Century Gothic" w:cs="Arial"/>
          <w:color w:val="000000"/>
        </w:rPr>
      </w:pPr>
    </w:p>
    <w:p w14:paraId="2D0B2175"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industrial:</w:t>
      </w:r>
      <w:r w:rsidRPr="00FA7341">
        <w:rPr>
          <w:rFonts w:ascii="Century Gothic" w:hAnsi="Century Gothic" w:cs="Arial"/>
          <w:color w:val="000000"/>
        </w:rPr>
        <w:t xml:space="preserve"> Corresponde al sector secundario mencionado anteriormente.</w:t>
      </w:r>
    </w:p>
    <w:p w14:paraId="1F0F4E69" w14:textId="77777777" w:rsidR="002D56BA" w:rsidRPr="00FA7341" w:rsidRDefault="002D56BA" w:rsidP="007369E7">
      <w:pPr>
        <w:spacing w:after="0" w:line="240" w:lineRule="auto"/>
        <w:ind w:left="720"/>
        <w:jc w:val="both"/>
        <w:rPr>
          <w:rFonts w:ascii="Century Gothic" w:hAnsi="Century Gothic" w:cs="Arial"/>
          <w:color w:val="000000"/>
        </w:rPr>
      </w:pPr>
    </w:p>
    <w:p w14:paraId="293FE1DF"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de transporte:</w:t>
      </w:r>
      <w:r w:rsidRPr="00FA7341">
        <w:rPr>
          <w:rFonts w:ascii="Century Gothic" w:hAnsi="Century Gothic" w:cs="Arial"/>
          <w:color w:val="000000"/>
        </w:rPr>
        <w:t xml:space="preserve"> Hace parte del sector terciario, e incluye transporte de carga, servicio de transporte público, transporte terrestre, aéreo, marítimo, etc.</w:t>
      </w:r>
    </w:p>
    <w:p w14:paraId="12C8E5AE" w14:textId="77777777" w:rsidR="002D56BA" w:rsidRPr="00FA7341" w:rsidRDefault="002D56BA" w:rsidP="007369E7">
      <w:pPr>
        <w:spacing w:after="0" w:line="240" w:lineRule="auto"/>
        <w:ind w:left="720"/>
        <w:jc w:val="both"/>
        <w:rPr>
          <w:rFonts w:ascii="Century Gothic" w:hAnsi="Century Gothic" w:cs="Arial"/>
          <w:color w:val="000000"/>
        </w:rPr>
      </w:pPr>
    </w:p>
    <w:p w14:paraId="40200A7E"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de comercio:</w:t>
      </w:r>
      <w:r w:rsidRPr="00FA7341">
        <w:rPr>
          <w:rFonts w:ascii="Century Gothic" w:hAnsi="Century Gothic" w:cs="Arial"/>
          <w:color w:val="000000"/>
        </w:rPr>
        <w:t xml:space="preserve"> Hace parte del sector terciario de la economía, e incluye comercio al por mayor, minorista, centros comerciales, cámaras de comercio, San Andresito, plazas de mercado y, en general, a todos aquellos que se relacionan con la actividad de comercio de diversos productos a nivel nacional o internacional.</w:t>
      </w:r>
    </w:p>
    <w:p w14:paraId="283F6C26" w14:textId="77777777" w:rsidR="002D56BA" w:rsidRPr="00FA7341" w:rsidRDefault="002D56BA" w:rsidP="007369E7">
      <w:pPr>
        <w:spacing w:after="0" w:line="240" w:lineRule="auto"/>
        <w:ind w:left="720"/>
        <w:jc w:val="both"/>
        <w:rPr>
          <w:rFonts w:ascii="Century Gothic" w:hAnsi="Century Gothic" w:cs="Arial"/>
          <w:color w:val="000000"/>
        </w:rPr>
      </w:pPr>
    </w:p>
    <w:p w14:paraId="2424C89F"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financiero:</w:t>
      </w:r>
      <w:r w:rsidRPr="00FA7341">
        <w:rPr>
          <w:rFonts w:ascii="Century Gothic" w:hAnsi="Century Gothic" w:cs="Arial"/>
          <w:color w:val="000000"/>
        </w:rPr>
        <w:t xml:space="preserve"> En este sector se incluyen todas aquellas organizaciones relacionadas con actividades bancarias y financieras, aseguradoras, fondos de pensiones y cesantías, fiduciarias, etc.</w:t>
      </w:r>
    </w:p>
    <w:p w14:paraId="323134EF" w14:textId="77777777" w:rsidR="002D56BA" w:rsidRPr="00FA7341" w:rsidRDefault="002D56BA" w:rsidP="007369E7">
      <w:pPr>
        <w:spacing w:after="0" w:line="240" w:lineRule="auto"/>
        <w:ind w:left="720"/>
        <w:jc w:val="both"/>
        <w:rPr>
          <w:rFonts w:ascii="Century Gothic" w:hAnsi="Century Gothic" w:cs="Arial"/>
          <w:color w:val="000000"/>
        </w:rPr>
      </w:pPr>
    </w:p>
    <w:p w14:paraId="24C87F01"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de la construcción:</w:t>
      </w:r>
      <w:r w:rsidRPr="00FA7341">
        <w:rPr>
          <w:rFonts w:ascii="Century Gothic" w:hAnsi="Century Gothic" w:cs="Arial"/>
          <w:color w:val="000000"/>
        </w:rPr>
        <w:t xml:space="preserve"> En este sector se incluyen las empresas y organizaciones relacionadas con la construcción, al igual que los arquitectos e ingenieros, las empresas productoras de materiales para la construcción, etc.</w:t>
      </w:r>
    </w:p>
    <w:p w14:paraId="3ABD1C76" w14:textId="77777777" w:rsidR="002D56BA" w:rsidRPr="00FA7341" w:rsidRDefault="002D56BA" w:rsidP="007369E7">
      <w:pPr>
        <w:spacing w:after="0" w:line="240" w:lineRule="auto"/>
        <w:ind w:left="720"/>
        <w:jc w:val="both"/>
        <w:rPr>
          <w:rFonts w:ascii="Century Gothic" w:hAnsi="Century Gothic" w:cs="Arial"/>
          <w:color w:val="000000"/>
        </w:rPr>
      </w:pPr>
    </w:p>
    <w:p w14:paraId="03F99F35"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minero y energético:</w:t>
      </w:r>
      <w:r w:rsidRPr="00FA7341">
        <w:rPr>
          <w:rFonts w:ascii="Century Gothic" w:hAnsi="Century Gothic" w:cs="Arial"/>
          <w:color w:val="000000"/>
        </w:rPr>
        <w:t xml:space="preserve"> Se incluyen en él todas las empresas que se relacionan con la actividad minera y energética de cualquier tipo (extracción de carbón, esmeraldas, gas y petróleo; empresas generadoras de energía; etc.).</w:t>
      </w:r>
    </w:p>
    <w:p w14:paraId="1A5D5A8B" w14:textId="77777777" w:rsidR="002D56BA" w:rsidRPr="00FA7341" w:rsidRDefault="002D56BA" w:rsidP="007369E7">
      <w:pPr>
        <w:spacing w:after="0" w:line="240" w:lineRule="auto"/>
        <w:ind w:left="720"/>
        <w:jc w:val="both"/>
        <w:rPr>
          <w:rFonts w:ascii="Century Gothic" w:hAnsi="Century Gothic" w:cs="Arial"/>
          <w:color w:val="000000"/>
        </w:rPr>
      </w:pPr>
    </w:p>
    <w:p w14:paraId="0A67595F"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solidario:</w:t>
      </w:r>
      <w:r w:rsidRPr="00FA7341">
        <w:rPr>
          <w:rFonts w:ascii="Century Gothic" w:hAnsi="Century Gothic" w:cs="Arial"/>
          <w:color w:val="000000"/>
        </w:rPr>
        <w:t xml:space="preserve"> En este sector se incluyen las cooperativas, las cajas de compensación familiar, las empresas solidarias de salud, entre otras.</w:t>
      </w:r>
    </w:p>
    <w:p w14:paraId="39DC40F1" w14:textId="77777777" w:rsidR="002D56BA" w:rsidRPr="00FA7341" w:rsidRDefault="002D56BA" w:rsidP="007369E7">
      <w:pPr>
        <w:spacing w:after="0" w:line="240" w:lineRule="auto"/>
        <w:ind w:left="720"/>
        <w:jc w:val="both"/>
        <w:rPr>
          <w:rFonts w:ascii="Century Gothic" w:hAnsi="Century Gothic" w:cs="Arial"/>
          <w:color w:val="000000"/>
        </w:rPr>
      </w:pPr>
    </w:p>
    <w:p w14:paraId="51B43691" w14:textId="77777777" w:rsidR="005D79F7" w:rsidRPr="00FA7341" w:rsidRDefault="005D79F7" w:rsidP="007369E7">
      <w:pPr>
        <w:numPr>
          <w:ilvl w:val="0"/>
          <w:numId w:val="3"/>
        </w:numPr>
        <w:spacing w:after="0" w:line="240" w:lineRule="auto"/>
        <w:jc w:val="both"/>
        <w:rPr>
          <w:rFonts w:ascii="Century Gothic" w:hAnsi="Century Gothic" w:cs="Arial"/>
          <w:color w:val="000000"/>
        </w:rPr>
      </w:pPr>
      <w:r w:rsidRPr="00FA7341">
        <w:rPr>
          <w:rFonts w:ascii="Century Gothic" w:hAnsi="Century Gothic" w:cs="Arial"/>
          <w:b/>
          <w:color w:val="000000"/>
        </w:rPr>
        <w:t>Sector de comunicaciones:</w:t>
      </w:r>
      <w:r w:rsidRPr="00FA7341">
        <w:rPr>
          <w:rFonts w:ascii="Century Gothic" w:hAnsi="Century Gothic" w:cs="Arial"/>
          <w:color w:val="000000"/>
        </w:rPr>
        <w:t xml:space="preserve"> En este sector se incluyen todas las empresas y organizaciones relacionadas con los medios de comunicación como (telefonía fija y celular, empresas de publicidad, periódicos, editoriales, etc.).</w:t>
      </w:r>
    </w:p>
    <w:p w14:paraId="099E2A6D" w14:textId="77777777" w:rsidR="005D79F7" w:rsidRPr="00FA7341" w:rsidRDefault="005D79F7" w:rsidP="007369E7">
      <w:pPr>
        <w:spacing w:after="0" w:line="240" w:lineRule="auto"/>
        <w:jc w:val="both"/>
        <w:rPr>
          <w:rFonts w:ascii="Century Gothic" w:hAnsi="Century Gothic" w:cs="Arial"/>
          <w:color w:val="000000"/>
        </w:rPr>
      </w:pPr>
    </w:p>
    <w:p w14:paraId="13CE5198" w14:textId="0845917B"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t>Como complemento de lo anterior</w:t>
      </w:r>
      <w:r w:rsidR="005B1168" w:rsidRPr="00FA7341">
        <w:rPr>
          <w:rFonts w:ascii="Century Gothic" w:hAnsi="Century Gothic" w:cs="Arial"/>
          <w:color w:val="000000"/>
        </w:rPr>
        <w:t>,</w:t>
      </w:r>
      <w:r w:rsidRPr="00FA7341">
        <w:rPr>
          <w:rFonts w:ascii="Century Gothic" w:hAnsi="Century Gothic" w:cs="Arial"/>
          <w:color w:val="000000"/>
        </w:rPr>
        <w:t xml:space="preserve"> la Organización Mundial para el trabajo OIT, establece que los siguientes son los sectores e industrias</w:t>
      </w:r>
      <w:r w:rsidRPr="00FA7341">
        <w:rPr>
          <w:rFonts w:ascii="Century Gothic" w:hAnsi="Century Gothic" w:cs="Arial"/>
          <w:color w:val="000000"/>
          <w:vertAlign w:val="superscript"/>
        </w:rPr>
        <w:footnoteReference w:id="3"/>
      </w:r>
      <w:r w:rsidRPr="00FA7341">
        <w:rPr>
          <w:rFonts w:ascii="Century Gothic" w:hAnsi="Century Gothic" w:cs="Arial"/>
          <w:color w:val="000000"/>
        </w:rPr>
        <w:t>:</w:t>
      </w:r>
    </w:p>
    <w:p w14:paraId="6D1CFE52" w14:textId="77777777" w:rsidR="005D79F7" w:rsidRPr="00FA7341" w:rsidRDefault="005D79F7" w:rsidP="007369E7">
      <w:pPr>
        <w:spacing w:after="0" w:line="240" w:lineRule="auto"/>
        <w:jc w:val="both"/>
        <w:rPr>
          <w:rFonts w:ascii="Century Gothic" w:hAnsi="Century Gothic" w:cs="Arial"/>
          <w:color w:val="000000"/>
        </w:rPr>
      </w:pPr>
    </w:p>
    <w:p w14:paraId="0C558248"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Agricultura; plantaciones, otros sectores rurales</w:t>
      </w:r>
    </w:p>
    <w:p w14:paraId="4773CC9D"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Alimentación; bebidas; tabaco</w:t>
      </w:r>
    </w:p>
    <w:p w14:paraId="407D6F50"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Comercio</w:t>
      </w:r>
    </w:p>
    <w:p w14:paraId="27242675"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Construcción</w:t>
      </w:r>
    </w:p>
    <w:p w14:paraId="30E41A8A"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Educación</w:t>
      </w:r>
    </w:p>
    <w:p w14:paraId="39DAF746"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Fábrica de materiales de transporte</w:t>
      </w:r>
    </w:p>
    <w:p w14:paraId="204D1BC9"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Función publica</w:t>
      </w:r>
    </w:p>
    <w:p w14:paraId="492FC250"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Hotelería restauración y turismo</w:t>
      </w:r>
    </w:p>
    <w:p w14:paraId="483E5E2A"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Industrias químicas</w:t>
      </w:r>
    </w:p>
    <w:p w14:paraId="1BAF48B4"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Medios de comunicación, cultura y gráficos</w:t>
      </w:r>
    </w:p>
    <w:p w14:paraId="2E84D3E5"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Minería</w:t>
      </w:r>
    </w:p>
    <w:p w14:paraId="38C1BC01"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Petrolero y productos de gas</w:t>
      </w:r>
    </w:p>
    <w:p w14:paraId="7B563499"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Producción de materiales básico</w:t>
      </w:r>
    </w:p>
    <w:p w14:paraId="352CC14D"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Servicio de correo y telecomunicaciones</w:t>
      </w:r>
    </w:p>
    <w:p w14:paraId="11007A39"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Servicio de salud</w:t>
      </w:r>
    </w:p>
    <w:p w14:paraId="5A5D889D"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Servicios financieros, servicios profesionales</w:t>
      </w:r>
    </w:p>
    <w:p w14:paraId="514ED9CF"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Servicios públicos</w:t>
      </w:r>
    </w:p>
    <w:p w14:paraId="5906ADD1"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Textiles; vestido; cuero; calzado</w:t>
      </w:r>
    </w:p>
    <w:p w14:paraId="70472009"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Transporte</w:t>
      </w:r>
    </w:p>
    <w:p w14:paraId="73A4F5CC" w14:textId="77777777" w:rsidR="005D79F7" w:rsidRPr="00FA7341" w:rsidRDefault="005D79F7" w:rsidP="007369E7">
      <w:pPr>
        <w:numPr>
          <w:ilvl w:val="0"/>
          <w:numId w:val="4"/>
        </w:numPr>
        <w:spacing w:after="0" w:line="240" w:lineRule="auto"/>
        <w:jc w:val="both"/>
        <w:rPr>
          <w:rFonts w:ascii="Century Gothic" w:hAnsi="Century Gothic" w:cs="Arial"/>
          <w:color w:val="000000"/>
        </w:rPr>
      </w:pPr>
      <w:r w:rsidRPr="00FA7341">
        <w:rPr>
          <w:rFonts w:ascii="Century Gothic" w:hAnsi="Century Gothic" w:cs="Arial"/>
          <w:color w:val="000000"/>
        </w:rPr>
        <w:t>Transporte marítimo; puertos; pesca; transporte interior.</w:t>
      </w:r>
    </w:p>
    <w:p w14:paraId="1A768EF8" w14:textId="77777777" w:rsidR="005D79F7" w:rsidRPr="00FA7341" w:rsidRDefault="005D79F7" w:rsidP="007369E7">
      <w:pPr>
        <w:spacing w:after="0" w:line="240" w:lineRule="auto"/>
        <w:jc w:val="both"/>
        <w:rPr>
          <w:rFonts w:ascii="Century Gothic" w:hAnsi="Century Gothic" w:cs="Arial"/>
          <w:color w:val="000000"/>
        </w:rPr>
      </w:pPr>
    </w:p>
    <w:p w14:paraId="51577D4F" w14:textId="119C71CC" w:rsidR="005D79F7" w:rsidRPr="00FA7341" w:rsidRDefault="00A95569" w:rsidP="007369E7">
      <w:pPr>
        <w:spacing w:after="0" w:line="240" w:lineRule="auto"/>
        <w:jc w:val="both"/>
        <w:rPr>
          <w:rFonts w:ascii="Century Gothic" w:hAnsi="Century Gothic" w:cs="Arial"/>
          <w:color w:val="000000"/>
        </w:rPr>
      </w:pPr>
      <w:r w:rsidRPr="00A95569">
        <w:rPr>
          <w:rFonts w:ascii="Century Gothic" w:hAnsi="Century Gothic" w:cs="Arial"/>
          <w:color w:val="000000"/>
        </w:rPr>
        <w:t>Para la satisfacción de la necesidad identificada, se requiere contratar el suministro de dotación consistente en camisas, pantalones y calzado para los servidores públicos con derecho a esta prestación, mediante la entrega de bonos redimibles o canjeables por las prendas y elementos previamente definidos por la entidad. Los bienes objeto de adquisición corresponden al sector textil</w:t>
      </w:r>
      <w:r w:rsidRPr="00A95569">
        <w:rPr>
          <w:rFonts w:ascii="Century Gothic" w:hAnsi="Century Gothic" w:cs="Arial"/>
          <w:color w:val="000000"/>
        </w:rPr>
        <w:t xml:space="preserve"> </w:t>
      </w:r>
      <w:r w:rsidR="00B9181B" w:rsidRPr="00FA7341">
        <w:rPr>
          <w:rFonts w:ascii="Century Gothic" w:hAnsi="Century Gothic" w:cs="Arial"/>
          <w:color w:val="000000"/>
        </w:rPr>
        <w:t xml:space="preserve">de la economía. </w:t>
      </w:r>
    </w:p>
    <w:p w14:paraId="246F28E7" w14:textId="77777777" w:rsidR="00B9181B" w:rsidRPr="00FA7341" w:rsidRDefault="00B9181B" w:rsidP="007369E7">
      <w:pPr>
        <w:spacing w:after="0" w:line="240" w:lineRule="auto"/>
        <w:jc w:val="both"/>
        <w:rPr>
          <w:rFonts w:ascii="Century Gothic" w:hAnsi="Century Gothic" w:cs="Arial"/>
          <w:color w:val="000000"/>
        </w:rPr>
      </w:pPr>
    </w:p>
    <w:p w14:paraId="5780DA4B" w14:textId="344B4896" w:rsidR="005D79F7" w:rsidRPr="00FA7341" w:rsidRDefault="005D79F7" w:rsidP="007369E7">
      <w:pPr>
        <w:spacing w:after="0" w:line="240" w:lineRule="auto"/>
        <w:jc w:val="both"/>
        <w:rPr>
          <w:rFonts w:ascii="Century Gothic" w:hAnsi="Century Gothic" w:cs="Arial"/>
          <w:color w:val="000000"/>
        </w:rPr>
      </w:pPr>
      <w:r w:rsidRPr="00FA7341">
        <w:rPr>
          <w:rFonts w:ascii="Century Gothic" w:hAnsi="Century Gothic" w:cs="Arial"/>
          <w:color w:val="000000"/>
        </w:rPr>
        <w:t xml:space="preserve">De esta manera, el objeto de la contratación a adelantar se encuentra </w:t>
      </w:r>
      <w:r w:rsidR="000E7C45" w:rsidRPr="00FA7341">
        <w:rPr>
          <w:rFonts w:ascii="Century Gothic" w:hAnsi="Century Gothic" w:cs="Arial"/>
          <w:color w:val="000000"/>
        </w:rPr>
        <w:t xml:space="preserve">acorde a las actividades asociadas </w:t>
      </w:r>
      <w:r w:rsidR="003241F5" w:rsidRPr="00FA7341">
        <w:rPr>
          <w:rFonts w:ascii="Century Gothic" w:hAnsi="Century Gothic" w:cs="Arial"/>
          <w:color w:val="000000"/>
        </w:rPr>
        <w:t>a</w:t>
      </w:r>
      <w:r w:rsidR="00236CFF" w:rsidRPr="00FA7341">
        <w:rPr>
          <w:rFonts w:ascii="Century Gothic" w:hAnsi="Century Gothic" w:cs="Arial"/>
          <w:color w:val="000000"/>
        </w:rPr>
        <w:t xml:space="preserve"> la confección y comercio de prendas de vestir </w:t>
      </w:r>
      <w:r w:rsidR="00073B16" w:rsidRPr="00FA7341">
        <w:rPr>
          <w:rFonts w:ascii="Century Gothic" w:hAnsi="Century Gothic" w:cs="Arial"/>
          <w:color w:val="000000"/>
        </w:rPr>
        <w:t xml:space="preserve">A continuación, </w:t>
      </w:r>
      <w:r w:rsidRPr="00FA7341">
        <w:rPr>
          <w:rFonts w:ascii="Century Gothic" w:hAnsi="Century Gothic" w:cs="Arial"/>
          <w:color w:val="000000"/>
        </w:rPr>
        <w:t>se presentan las clases correspondientes al objeto contractual:</w:t>
      </w:r>
    </w:p>
    <w:p w14:paraId="054347D1" w14:textId="77777777" w:rsidR="005D79F7" w:rsidRPr="00FA7341" w:rsidRDefault="005D79F7" w:rsidP="007369E7">
      <w:pPr>
        <w:spacing w:after="0" w:line="240" w:lineRule="auto"/>
        <w:jc w:val="both"/>
        <w:rPr>
          <w:rFonts w:ascii="Century Gothic" w:hAnsi="Century Gothic" w:cs="Arial"/>
          <w:b/>
          <w:bCs/>
          <w:color w:val="000000"/>
          <w:highlight w:val="yellow"/>
        </w:rPr>
      </w:pPr>
    </w:p>
    <w:p w14:paraId="7C6C797A" w14:textId="789CA768" w:rsidR="00236CFF" w:rsidRPr="00AC29C1" w:rsidRDefault="00AC29C1" w:rsidP="009B016D">
      <w:pPr>
        <w:numPr>
          <w:ilvl w:val="0"/>
          <w:numId w:val="11"/>
        </w:numPr>
        <w:spacing w:after="0" w:line="240" w:lineRule="auto"/>
        <w:jc w:val="both"/>
        <w:rPr>
          <w:rFonts w:ascii="Century Gothic" w:hAnsi="Century Gothic" w:cs="Arial"/>
          <w:i/>
          <w:iCs/>
          <w:color w:val="FF0000"/>
        </w:rPr>
      </w:pPr>
      <w:r w:rsidRPr="00AC29C1">
        <w:rPr>
          <w:rFonts w:ascii="Century Gothic" w:hAnsi="Century Gothic" w:cs="Arial"/>
          <w:i/>
          <w:iCs/>
          <w:color w:val="000000" w:themeColor="text1"/>
        </w:rPr>
        <w:t xml:space="preserve">– CIIU 8299 – Otras actividades de servicio de apoyo a las empresas </w:t>
      </w:r>
      <w:proofErr w:type="spellStart"/>
      <w:r w:rsidRPr="00AC29C1">
        <w:rPr>
          <w:rFonts w:ascii="Century Gothic" w:hAnsi="Century Gothic" w:cs="Arial"/>
          <w:i/>
          <w:iCs/>
          <w:color w:val="000000" w:themeColor="text1"/>
        </w:rPr>
        <w:t>n.c.p</w:t>
      </w:r>
      <w:proofErr w:type="spellEnd"/>
      <w:r w:rsidRPr="00AC29C1">
        <w:rPr>
          <w:rFonts w:ascii="Century Gothic" w:hAnsi="Century Gothic" w:cs="Arial"/>
          <w:i/>
          <w:iCs/>
          <w:color w:val="000000" w:themeColor="text1"/>
        </w:rPr>
        <w:t>. Esta clase comprende la prestación de servicios de apoyo empresarial no clasificados en otras categorías específicas, dentro de los cuales se ubican los modelos de administración de beneficios laborales, operación de sistemas de bonos o vales corporativos, gestión logística y servicios de intermediación para el suministro de bienes a organizaciones públicas y privadas. Esta clasificación resulta compatible con el modelo de suministro de dotación mediante bonos redimibles, dado que el contratista actúa como operador y administrador del sistema de emisión, distribución, control y redención de la dotación</w:t>
      </w:r>
      <w:r w:rsidR="00236CFF" w:rsidRPr="00FA7341">
        <w:rPr>
          <w:rFonts w:ascii="Century Gothic" w:hAnsi="Century Gothic" w:cs="Arial"/>
          <w:i/>
          <w:iCs/>
          <w:color w:val="000000" w:themeColor="text1"/>
        </w:rPr>
        <w:t>4642 Comercio al por mayor de prendas de vestir.</w:t>
      </w:r>
    </w:p>
    <w:p w14:paraId="31562E86" w14:textId="77777777" w:rsidR="00AC29C1" w:rsidRPr="00AC29C1" w:rsidRDefault="00AC29C1" w:rsidP="00AC29C1">
      <w:pPr>
        <w:spacing w:after="0" w:line="240" w:lineRule="auto"/>
        <w:ind w:left="720"/>
        <w:jc w:val="both"/>
        <w:rPr>
          <w:rFonts w:ascii="Century Gothic" w:hAnsi="Century Gothic" w:cs="Arial"/>
          <w:i/>
          <w:iCs/>
          <w:color w:val="FF0000"/>
        </w:rPr>
      </w:pPr>
    </w:p>
    <w:p w14:paraId="11CF7B80" w14:textId="2A3A9CEB" w:rsidR="00AC29C1" w:rsidRDefault="00AC29C1" w:rsidP="00AC29C1">
      <w:pPr>
        <w:spacing w:after="0" w:line="240" w:lineRule="auto"/>
        <w:jc w:val="both"/>
        <w:rPr>
          <w:rFonts w:ascii="Century Gothic" w:hAnsi="Century Gothic" w:cs="Arial"/>
          <w:i/>
          <w:iCs/>
        </w:rPr>
      </w:pPr>
      <w:r w:rsidRPr="00AC29C1">
        <w:rPr>
          <w:rFonts w:ascii="Century Gothic" w:hAnsi="Century Gothic" w:cs="Arial"/>
          <w:i/>
          <w:iCs/>
        </w:rPr>
        <w:t>De manera complementaria, y atendiendo a los distintos componentes que integran el servicio, el objeto contractual también se relaciona con las siguientes clases CIIU:</w:t>
      </w:r>
    </w:p>
    <w:p w14:paraId="0495FBD3" w14:textId="77777777" w:rsidR="00AC29C1" w:rsidRDefault="00AC29C1" w:rsidP="00AC29C1">
      <w:pPr>
        <w:spacing w:after="0" w:line="240" w:lineRule="auto"/>
        <w:jc w:val="both"/>
        <w:rPr>
          <w:rFonts w:ascii="Century Gothic" w:hAnsi="Century Gothic" w:cs="Arial"/>
          <w:i/>
          <w:iCs/>
        </w:rPr>
      </w:pPr>
    </w:p>
    <w:p w14:paraId="5885755E" w14:textId="77777777" w:rsidR="00AC29C1" w:rsidRDefault="00AC29C1" w:rsidP="00AC29C1">
      <w:pPr>
        <w:pStyle w:val="Prrafodelista"/>
        <w:numPr>
          <w:ilvl w:val="1"/>
          <w:numId w:val="32"/>
        </w:numPr>
        <w:spacing w:after="0" w:line="240" w:lineRule="auto"/>
        <w:ind w:left="709" w:hanging="283"/>
        <w:jc w:val="both"/>
        <w:rPr>
          <w:rFonts w:ascii="Century Gothic" w:hAnsi="Century Gothic" w:cs="Arial"/>
          <w:i/>
          <w:iCs/>
        </w:rPr>
      </w:pPr>
      <w:r>
        <w:rPr>
          <w:rFonts w:ascii="Century Gothic" w:hAnsi="Century Gothic" w:cs="Arial"/>
          <w:i/>
          <w:iCs/>
        </w:rPr>
        <w:t xml:space="preserve">- </w:t>
      </w:r>
      <w:r w:rsidRPr="00AC29C1">
        <w:rPr>
          <w:rFonts w:ascii="Century Gothic" w:hAnsi="Century Gothic" w:cs="Arial"/>
          <w:i/>
          <w:iCs/>
        </w:rPr>
        <w:t xml:space="preserve">CIIU 4610 – Comercio al por mayor a cambio de una retribución o por contrata. Incluye las actividades de intermediación comercial realizadas por cuenta de terceros, en las que el operador articula la relación entre la entidad contratante y la red de establecimientos afiliados encargados de suministrar vestuario y calzado. Esta actividad refleja el rol del proveedor como intermediario en la cadena de suministro, sin asumir la producción ni la venta directa de los bienes. </w:t>
      </w:r>
    </w:p>
    <w:p w14:paraId="47FE1BCE" w14:textId="77777777" w:rsidR="00AC29C1" w:rsidRDefault="00AC29C1" w:rsidP="00AC29C1">
      <w:pPr>
        <w:pStyle w:val="Prrafodelista"/>
        <w:spacing w:after="0" w:line="240" w:lineRule="auto"/>
        <w:ind w:left="709"/>
        <w:jc w:val="both"/>
        <w:rPr>
          <w:rFonts w:ascii="Century Gothic" w:hAnsi="Century Gothic" w:cs="Arial"/>
          <w:i/>
          <w:iCs/>
        </w:rPr>
      </w:pPr>
    </w:p>
    <w:p w14:paraId="3C1E5148" w14:textId="77777777" w:rsidR="00AC29C1" w:rsidRDefault="00AC29C1" w:rsidP="00AC29C1">
      <w:pPr>
        <w:pStyle w:val="Prrafodelista"/>
        <w:numPr>
          <w:ilvl w:val="1"/>
          <w:numId w:val="32"/>
        </w:numPr>
        <w:spacing w:after="0" w:line="240" w:lineRule="auto"/>
        <w:ind w:left="709" w:hanging="283"/>
        <w:jc w:val="both"/>
        <w:rPr>
          <w:rFonts w:ascii="Century Gothic" w:hAnsi="Century Gothic" w:cs="Arial"/>
          <w:i/>
          <w:iCs/>
        </w:rPr>
      </w:pPr>
      <w:r w:rsidRPr="00AC29C1">
        <w:rPr>
          <w:rFonts w:ascii="Century Gothic" w:hAnsi="Century Gothic" w:cs="Arial"/>
          <w:i/>
          <w:iCs/>
        </w:rPr>
        <w:t xml:space="preserve">– CIIU 6209 – Otras actividades de tecnologías de información y servicios informáticos (cuando aplique). Se relaciona con el soporte tecnológico requerido para la emisión de bonos electrónicos o tarjetas, la administración de plataformas de redención, la trazabilidad transaccional, la generación de reportes y los mecanismos de control del uso de los beneficios, elementos que constituyen un componente esencial del servicio en los modelos actuales de dotación. </w:t>
      </w:r>
    </w:p>
    <w:p w14:paraId="7220FB6A" w14:textId="77777777" w:rsidR="00AC29C1" w:rsidRPr="00AC29C1" w:rsidRDefault="00AC29C1" w:rsidP="00AC29C1">
      <w:pPr>
        <w:pStyle w:val="Prrafodelista"/>
        <w:rPr>
          <w:rFonts w:ascii="Century Gothic" w:hAnsi="Century Gothic" w:cs="Arial"/>
          <w:i/>
          <w:iCs/>
        </w:rPr>
      </w:pPr>
    </w:p>
    <w:p w14:paraId="27D5DBBF" w14:textId="7A7D832D" w:rsidR="00AC29C1" w:rsidRPr="00AC29C1" w:rsidRDefault="00AC29C1" w:rsidP="00AC29C1">
      <w:pPr>
        <w:spacing w:after="0" w:line="240" w:lineRule="auto"/>
        <w:jc w:val="both"/>
        <w:rPr>
          <w:rFonts w:ascii="Century Gothic" w:hAnsi="Century Gothic" w:cs="Arial"/>
          <w:i/>
          <w:iCs/>
        </w:rPr>
      </w:pPr>
      <w:r w:rsidRPr="00AC29C1">
        <w:rPr>
          <w:rFonts w:ascii="Century Gothic" w:hAnsi="Century Gothic" w:cs="Arial"/>
          <w:i/>
          <w:iCs/>
        </w:rPr>
        <w:t>La clasificación anterior permite ubicar el servicio de dotación mediante bonos dentro del sector de servicios empresariales y de intermediación comercial con soporte tecnológico, caracterizado por la prestación de soluciones operativas y transaccionales orientadas a la gestión de beneficios laborales y al cumplimiento eficiente de obligaciones legales por parte de las entidades públicas.</w:t>
      </w:r>
    </w:p>
    <w:p w14:paraId="475B2502" w14:textId="77777777" w:rsidR="004C3A82" w:rsidRPr="00FA7341" w:rsidRDefault="004C3A82" w:rsidP="007369E7">
      <w:pPr>
        <w:spacing w:after="0" w:line="240" w:lineRule="auto"/>
        <w:jc w:val="both"/>
        <w:rPr>
          <w:rFonts w:ascii="Century Gothic" w:hAnsi="Century Gothic" w:cs="Arial"/>
          <w:color w:val="000000"/>
        </w:rPr>
      </w:pPr>
    </w:p>
    <w:p w14:paraId="0EA78596" w14:textId="10104E7C" w:rsidR="004C3A82" w:rsidRDefault="00073B16" w:rsidP="007369E7">
      <w:pPr>
        <w:spacing w:after="0" w:line="240" w:lineRule="auto"/>
        <w:jc w:val="both"/>
        <w:rPr>
          <w:rFonts w:ascii="Century Gothic" w:hAnsi="Century Gothic" w:cs="Arial"/>
          <w:color w:val="000000"/>
        </w:rPr>
      </w:pPr>
      <w:r w:rsidRPr="00FA7341">
        <w:rPr>
          <w:rFonts w:ascii="Century Gothic" w:hAnsi="Century Gothic" w:cs="Arial"/>
          <w:color w:val="000000"/>
        </w:rPr>
        <w:t>Así mismo, e</w:t>
      </w:r>
      <w:r w:rsidR="004C3A82" w:rsidRPr="00FA7341">
        <w:rPr>
          <w:rFonts w:ascii="Century Gothic" w:hAnsi="Century Gothic" w:cs="Arial"/>
          <w:color w:val="000000"/>
        </w:rPr>
        <w:t xml:space="preserve">l objeto de este contrato está codificado en la clasificación </w:t>
      </w:r>
      <w:r w:rsidRPr="00FA7341">
        <w:rPr>
          <w:rFonts w:ascii="Century Gothic" w:hAnsi="Century Gothic" w:cs="Arial"/>
          <w:color w:val="000000"/>
        </w:rPr>
        <w:t>de Bienes y Servicios de las Naciones Unidas, los cuales</w:t>
      </w:r>
      <w:r w:rsidR="004C3A82" w:rsidRPr="00FA7341">
        <w:rPr>
          <w:rFonts w:ascii="Century Gothic" w:hAnsi="Century Gothic" w:cs="Arial"/>
          <w:color w:val="000000"/>
        </w:rPr>
        <w:t xml:space="preserve"> se describe</w:t>
      </w:r>
      <w:r w:rsidRPr="00FA7341">
        <w:rPr>
          <w:rFonts w:ascii="Century Gothic" w:hAnsi="Century Gothic" w:cs="Arial"/>
          <w:color w:val="000000"/>
        </w:rPr>
        <w:t>n</w:t>
      </w:r>
      <w:r w:rsidR="004C3A82" w:rsidRPr="00FA7341">
        <w:rPr>
          <w:rFonts w:ascii="Century Gothic" w:hAnsi="Century Gothic" w:cs="Arial"/>
          <w:color w:val="000000"/>
        </w:rPr>
        <w:t xml:space="preserve"> a continuación: </w:t>
      </w:r>
    </w:p>
    <w:p w14:paraId="5DC1F556" w14:textId="77777777" w:rsidR="00A95569" w:rsidRPr="00FA7341" w:rsidRDefault="00A95569" w:rsidP="007369E7">
      <w:pPr>
        <w:spacing w:after="0" w:line="240" w:lineRule="auto"/>
        <w:jc w:val="both"/>
        <w:rPr>
          <w:rFonts w:ascii="Century Gothic" w:hAnsi="Century Gothic" w:cs="Arial"/>
          <w:color w:val="000000"/>
        </w:rPr>
      </w:pPr>
    </w:p>
    <w:p w14:paraId="4BBC91D9" w14:textId="77777777" w:rsidR="00B9181B" w:rsidRPr="00FA7341" w:rsidRDefault="00B9181B" w:rsidP="007369E7">
      <w:pPr>
        <w:spacing w:after="0" w:line="240" w:lineRule="auto"/>
        <w:jc w:val="both"/>
        <w:rPr>
          <w:rFonts w:ascii="Century Gothic" w:hAnsi="Century Gothic" w:cs="Arial"/>
          <w:color w:val="000000"/>
          <w:highlight w:val="yellow"/>
        </w:rPr>
      </w:pPr>
    </w:p>
    <w:p w14:paraId="16E9920B" w14:textId="008F1458" w:rsidR="0045471A" w:rsidRPr="00FA7341" w:rsidRDefault="0045471A" w:rsidP="007369E7">
      <w:pPr>
        <w:pStyle w:val="Descripcin"/>
        <w:spacing w:after="0"/>
        <w:jc w:val="center"/>
        <w:rPr>
          <w:rFonts w:ascii="Century Gothic" w:hAnsi="Century Gothic" w:cs="Arial"/>
          <w:color w:val="002060"/>
          <w:sz w:val="22"/>
          <w:szCs w:val="22"/>
        </w:rPr>
      </w:pPr>
      <w:bookmarkStart w:id="3" w:name="_Toc192773257"/>
      <w:r w:rsidRPr="00FA7341">
        <w:rPr>
          <w:rFonts w:ascii="Century Gothic" w:hAnsi="Century Gothic" w:cs="Arial"/>
          <w:color w:val="002060"/>
          <w:sz w:val="22"/>
          <w:szCs w:val="22"/>
        </w:rPr>
        <w:lastRenderedPageBreak/>
        <w:t xml:space="preserve">Tabla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Tabla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1</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Clasificador de </w:t>
      </w:r>
      <w:r w:rsidR="00073B16" w:rsidRPr="00FA7341">
        <w:rPr>
          <w:rFonts w:ascii="Century Gothic" w:hAnsi="Century Gothic" w:cs="Arial"/>
          <w:color w:val="002060"/>
          <w:sz w:val="22"/>
          <w:szCs w:val="22"/>
        </w:rPr>
        <w:t>B</w:t>
      </w:r>
      <w:r w:rsidRPr="00FA7341">
        <w:rPr>
          <w:rFonts w:ascii="Century Gothic" w:hAnsi="Century Gothic" w:cs="Arial"/>
          <w:color w:val="002060"/>
          <w:sz w:val="22"/>
          <w:szCs w:val="22"/>
        </w:rPr>
        <w:t xml:space="preserve">ienes y </w:t>
      </w:r>
      <w:r w:rsidR="00073B16" w:rsidRPr="00FA7341">
        <w:rPr>
          <w:rFonts w:ascii="Century Gothic" w:hAnsi="Century Gothic" w:cs="Arial"/>
          <w:color w:val="002060"/>
          <w:sz w:val="22"/>
          <w:szCs w:val="22"/>
        </w:rPr>
        <w:t>S</w:t>
      </w:r>
      <w:r w:rsidRPr="00FA7341">
        <w:rPr>
          <w:rFonts w:ascii="Century Gothic" w:hAnsi="Century Gothic" w:cs="Arial"/>
          <w:color w:val="002060"/>
          <w:sz w:val="22"/>
          <w:szCs w:val="22"/>
        </w:rPr>
        <w:t xml:space="preserve">ervicios </w:t>
      </w:r>
      <w:r w:rsidR="00073B16" w:rsidRPr="00FA7341">
        <w:rPr>
          <w:rFonts w:ascii="Century Gothic" w:hAnsi="Century Gothic" w:cs="Arial"/>
          <w:color w:val="002060"/>
          <w:sz w:val="22"/>
          <w:szCs w:val="22"/>
        </w:rPr>
        <w:t>de las Naciones Unidas</w:t>
      </w:r>
      <w:bookmarkEnd w:id="3"/>
      <w:r w:rsidR="00073B16" w:rsidRPr="00FA7341">
        <w:rPr>
          <w:rFonts w:ascii="Century Gothic" w:hAnsi="Century Gothic" w:cs="Arial"/>
          <w:color w:val="002060"/>
          <w:sz w:val="22"/>
          <w:szCs w:val="22"/>
        </w:rPr>
        <w:t xml:space="preserve"> </w:t>
      </w:r>
    </w:p>
    <w:p w14:paraId="77BF3504" w14:textId="77777777" w:rsidR="00041903" w:rsidRPr="00FA7341" w:rsidRDefault="00041903" w:rsidP="006626DB">
      <w:pPr>
        <w:spacing w:after="0" w:line="240" w:lineRule="auto"/>
        <w:jc w:val="center"/>
        <w:rPr>
          <w:rFonts w:ascii="Century Gothic" w:hAnsi="Century Gothic" w:cs="Arial"/>
          <w:bCs/>
          <w:i/>
          <w:i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455"/>
        <w:gridCol w:w="1481"/>
        <w:gridCol w:w="2261"/>
      </w:tblGrid>
      <w:tr w:rsidR="00AC29C1" w:rsidRPr="00FA7341" w14:paraId="7EBC5551" w14:textId="77777777" w:rsidTr="00AC29C1">
        <w:trPr>
          <w:jc w:val="center"/>
        </w:trPr>
        <w:tc>
          <w:tcPr>
            <w:tcW w:w="1781" w:type="dxa"/>
            <w:shd w:val="clear" w:color="auto" w:fill="0070C0"/>
          </w:tcPr>
          <w:p w14:paraId="307C754A" w14:textId="77777777" w:rsidR="00AC29C1" w:rsidRPr="00FA7341" w:rsidRDefault="00AC29C1" w:rsidP="00C816B0">
            <w:pPr>
              <w:spacing w:after="0" w:line="240" w:lineRule="auto"/>
              <w:jc w:val="center"/>
              <w:rPr>
                <w:rFonts w:ascii="Century Gothic" w:hAnsi="Century Gothic"/>
                <w:b/>
                <w:bCs/>
              </w:rPr>
            </w:pPr>
            <w:r w:rsidRPr="00FA7341">
              <w:rPr>
                <w:rFonts w:ascii="Century Gothic" w:hAnsi="Century Gothic"/>
                <w:b/>
                <w:bCs/>
              </w:rPr>
              <w:t>Segmento</w:t>
            </w:r>
          </w:p>
        </w:tc>
        <w:tc>
          <w:tcPr>
            <w:tcW w:w="1455" w:type="dxa"/>
            <w:shd w:val="clear" w:color="auto" w:fill="0070C0"/>
          </w:tcPr>
          <w:p w14:paraId="31AC6F2D" w14:textId="77777777" w:rsidR="00AC29C1" w:rsidRPr="00FA7341" w:rsidRDefault="00AC29C1" w:rsidP="00C816B0">
            <w:pPr>
              <w:spacing w:after="0" w:line="240" w:lineRule="auto"/>
              <w:jc w:val="center"/>
              <w:rPr>
                <w:rFonts w:ascii="Century Gothic" w:hAnsi="Century Gothic"/>
                <w:b/>
                <w:bCs/>
              </w:rPr>
            </w:pPr>
            <w:r w:rsidRPr="00FA7341">
              <w:rPr>
                <w:rFonts w:ascii="Century Gothic" w:hAnsi="Century Gothic"/>
                <w:b/>
                <w:bCs/>
              </w:rPr>
              <w:t>Familia</w:t>
            </w:r>
          </w:p>
        </w:tc>
        <w:tc>
          <w:tcPr>
            <w:tcW w:w="1481" w:type="dxa"/>
            <w:shd w:val="clear" w:color="auto" w:fill="0070C0"/>
          </w:tcPr>
          <w:p w14:paraId="3F31DC47" w14:textId="77777777" w:rsidR="00AC29C1" w:rsidRPr="00FA7341" w:rsidRDefault="00AC29C1" w:rsidP="00C816B0">
            <w:pPr>
              <w:spacing w:after="0" w:line="240" w:lineRule="auto"/>
              <w:jc w:val="center"/>
              <w:rPr>
                <w:rFonts w:ascii="Century Gothic" w:hAnsi="Century Gothic"/>
                <w:b/>
                <w:bCs/>
              </w:rPr>
            </w:pPr>
            <w:r w:rsidRPr="00FA7341">
              <w:rPr>
                <w:rFonts w:ascii="Century Gothic" w:hAnsi="Century Gothic"/>
                <w:b/>
                <w:bCs/>
              </w:rPr>
              <w:t>Clase</w:t>
            </w:r>
          </w:p>
        </w:tc>
        <w:tc>
          <w:tcPr>
            <w:tcW w:w="2261" w:type="dxa"/>
            <w:shd w:val="clear" w:color="auto" w:fill="0070C0"/>
          </w:tcPr>
          <w:p w14:paraId="76DC5BD8" w14:textId="77777777" w:rsidR="00AC29C1" w:rsidRPr="00FA7341" w:rsidRDefault="00AC29C1" w:rsidP="00C816B0">
            <w:pPr>
              <w:spacing w:after="0" w:line="240" w:lineRule="auto"/>
              <w:jc w:val="center"/>
              <w:rPr>
                <w:rFonts w:ascii="Century Gothic" w:hAnsi="Century Gothic"/>
                <w:b/>
                <w:bCs/>
              </w:rPr>
            </w:pPr>
            <w:r w:rsidRPr="00FA7341">
              <w:rPr>
                <w:rFonts w:ascii="Century Gothic" w:hAnsi="Century Gothic"/>
                <w:b/>
                <w:bCs/>
              </w:rPr>
              <w:t>Producto (De ser posible)</w:t>
            </w:r>
          </w:p>
        </w:tc>
      </w:tr>
      <w:tr w:rsidR="00AC29C1" w:rsidRPr="00FA7341" w14:paraId="05C6E908" w14:textId="77777777" w:rsidTr="00AC29C1">
        <w:trPr>
          <w:jc w:val="center"/>
        </w:trPr>
        <w:tc>
          <w:tcPr>
            <w:tcW w:w="1781" w:type="dxa"/>
          </w:tcPr>
          <w:p w14:paraId="24B3F646" w14:textId="2EC02029" w:rsidR="00AC29C1" w:rsidRPr="00FA7341" w:rsidRDefault="00AC29C1" w:rsidP="00C816B0">
            <w:pPr>
              <w:spacing w:after="0" w:line="240" w:lineRule="auto"/>
              <w:jc w:val="both"/>
              <w:rPr>
                <w:rFonts w:ascii="Century Gothic" w:hAnsi="Century Gothic"/>
              </w:rPr>
            </w:pPr>
            <w:r>
              <w:rPr>
                <w:rFonts w:ascii="Century Gothic" w:hAnsi="Century Gothic"/>
              </w:rPr>
              <w:t>80</w:t>
            </w:r>
            <w:r w:rsidRPr="00FA7341">
              <w:rPr>
                <w:rFonts w:ascii="Century Gothic" w:hAnsi="Century Gothic"/>
              </w:rPr>
              <w:t xml:space="preserve">000000 </w:t>
            </w:r>
          </w:p>
        </w:tc>
        <w:tc>
          <w:tcPr>
            <w:tcW w:w="1455" w:type="dxa"/>
          </w:tcPr>
          <w:p w14:paraId="26FBA1B7" w14:textId="7E3C18E2" w:rsidR="00AC29C1" w:rsidRPr="00FA7341" w:rsidRDefault="00AC29C1" w:rsidP="00C816B0">
            <w:pPr>
              <w:spacing w:after="0" w:line="240" w:lineRule="auto"/>
              <w:jc w:val="both"/>
              <w:rPr>
                <w:rFonts w:ascii="Century Gothic" w:hAnsi="Century Gothic"/>
              </w:rPr>
            </w:pPr>
            <w:r>
              <w:rPr>
                <w:rFonts w:ascii="Century Gothic" w:hAnsi="Century Gothic"/>
              </w:rPr>
              <w:t>80</w:t>
            </w:r>
            <w:r w:rsidRPr="00FA7341">
              <w:rPr>
                <w:rFonts w:ascii="Century Gothic" w:hAnsi="Century Gothic"/>
              </w:rPr>
              <w:t>1</w:t>
            </w:r>
            <w:r>
              <w:rPr>
                <w:rFonts w:ascii="Century Gothic" w:hAnsi="Century Gothic"/>
              </w:rPr>
              <w:t>4</w:t>
            </w:r>
            <w:r w:rsidRPr="00FA7341">
              <w:rPr>
                <w:rFonts w:ascii="Century Gothic" w:hAnsi="Century Gothic"/>
              </w:rPr>
              <w:t xml:space="preserve">0000 </w:t>
            </w:r>
          </w:p>
        </w:tc>
        <w:tc>
          <w:tcPr>
            <w:tcW w:w="1481" w:type="dxa"/>
          </w:tcPr>
          <w:p w14:paraId="1E77AB7F" w14:textId="53DDEAE7" w:rsidR="00AC29C1" w:rsidRPr="00FA7341" w:rsidRDefault="00AC29C1" w:rsidP="00C816B0">
            <w:pPr>
              <w:spacing w:after="0" w:line="240" w:lineRule="auto"/>
              <w:jc w:val="both"/>
              <w:rPr>
                <w:rFonts w:ascii="Century Gothic" w:hAnsi="Century Gothic"/>
              </w:rPr>
            </w:pPr>
            <w:r>
              <w:rPr>
                <w:rFonts w:ascii="Century Gothic" w:hAnsi="Century Gothic"/>
              </w:rPr>
              <w:t>80141600</w:t>
            </w:r>
            <w:r w:rsidRPr="00FA7341">
              <w:rPr>
                <w:rFonts w:ascii="Century Gothic" w:hAnsi="Century Gothic"/>
              </w:rPr>
              <w:t xml:space="preserve"> </w:t>
            </w:r>
          </w:p>
        </w:tc>
        <w:tc>
          <w:tcPr>
            <w:tcW w:w="2261" w:type="dxa"/>
          </w:tcPr>
          <w:p w14:paraId="6FFADB95" w14:textId="5CB1B4C7" w:rsidR="00AC29C1" w:rsidRPr="00FA7341" w:rsidRDefault="00AC29C1" w:rsidP="00C816B0">
            <w:pPr>
              <w:spacing w:after="0" w:line="240" w:lineRule="auto"/>
              <w:jc w:val="both"/>
              <w:rPr>
                <w:rFonts w:ascii="Century Gothic" w:hAnsi="Century Gothic"/>
              </w:rPr>
            </w:pPr>
            <w:r w:rsidRPr="00AC29C1">
              <w:rPr>
                <w:rFonts w:ascii="Century Gothic" w:hAnsi="Century Gothic"/>
              </w:rPr>
              <w:t>Actividades de ventas y promoción de negocios</w:t>
            </w:r>
          </w:p>
        </w:tc>
      </w:tr>
      <w:tr w:rsidR="00AC29C1" w:rsidRPr="00FA7341" w14:paraId="7EAC9A30" w14:textId="77777777" w:rsidTr="00AC29C1">
        <w:trPr>
          <w:jc w:val="center"/>
        </w:trPr>
        <w:tc>
          <w:tcPr>
            <w:tcW w:w="1781" w:type="dxa"/>
          </w:tcPr>
          <w:p w14:paraId="37281B2D" w14:textId="400FADBC"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 xml:space="preserve">000000 </w:t>
            </w:r>
          </w:p>
        </w:tc>
        <w:tc>
          <w:tcPr>
            <w:tcW w:w="1455" w:type="dxa"/>
          </w:tcPr>
          <w:p w14:paraId="18A74D90" w14:textId="6671AA2B"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1</w:t>
            </w:r>
            <w:r>
              <w:rPr>
                <w:rFonts w:ascii="Century Gothic" w:hAnsi="Century Gothic"/>
              </w:rPr>
              <w:t>2</w:t>
            </w:r>
            <w:r w:rsidRPr="00FA7341">
              <w:rPr>
                <w:rFonts w:ascii="Century Gothic" w:hAnsi="Century Gothic"/>
              </w:rPr>
              <w:t xml:space="preserve">0000 </w:t>
            </w:r>
          </w:p>
        </w:tc>
        <w:tc>
          <w:tcPr>
            <w:tcW w:w="1481" w:type="dxa"/>
          </w:tcPr>
          <w:p w14:paraId="65575A56" w14:textId="4D383B80"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1</w:t>
            </w:r>
            <w:r>
              <w:rPr>
                <w:rFonts w:ascii="Century Gothic" w:hAnsi="Century Gothic"/>
              </w:rPr>
              <w:t>218</w:t>
            </w:r>
            <w:r w:rsidRPr="00FA7341">
              <w:rPr>
                <w:rFonts w:ascii="Century Gothic" w:hAnsi="Century Gothic"/>
              </w:rPr>
              <w:t xml:space="preserve">00 </w:t>
            </w:r>
          </w:p>
        </w:tc>
        <w:tc>
          <w:tcPr>
            <w:tcW w:w="2261" w:type="dxa"/>
          </w:tcPr>
          <w:p w14:paraId="63318AF4" w14:textId="62ECBEB7" w:rsidR="00AC29C1" w:rsidRPr="00FA7341" w:rsidRDefault="00AC29C1" w:rsidP="00C816B0">
            <w:pPr>
              <w:spacing w:after="0" w:line="240" w:lineRule="auto"/>
              <w:jc w:val="both"/>
              <w:rPr>
                <w:rFonts w:ascii="Century Gothic" w:hAnsi="Century Gothic"/>
              </w:rPr>
            </w:pPr>
            <w:r w:rsidRPr="00AC29C1">
              <w:rPr>
                <w:rFonts w:ascii="Century Gothic" w:hAnsi="Century Gothic"/>
              </w:rPr>
              <w:t xml:space="preserve">Servicios de mercados de títulos valores y </w:t>
            </w:r>
            <w:proofErr w:type="spellStart"/>
            <w:r w:rsidRPr="00AC29C1">
              <w:rPr>
                <w:rFonts w:ascii="Century Gothic" w:hAnsi="Century Gothic"/>
              </w:rPr>
              <w:t>commodities</w:t>
            </w:r>
            <w:proofErr w:type="spellEnd"/>
          </w:p>
        </w:tc>
      </w:tr>
      <w:tr w:rsidR="00AC29C1" w:rsidRPr="00FA7341" w14:paraId="3F2DE40B" w14:textId="77777777" w:rsidTr="00AC29C1">
        <w:trPr>
          <w:jc w:val="center"/>
        </w:trPr>
        <w:tc>
          <w:tcPr>
            <w:tcW w:w="1781" w:type="dxa"/>
          </w:tcPr>
          <w:p w14:paraId="3A205A84" w14:textId="2F4B08DB"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 xml:space="preserve">000000 </w:t>
            </w:r>
          </w:p>
        </w:tc>
        <w:tc>
          <w:tcPr>
            <w:tcW w:w="1455" w:type="dxa"/>
          </w:tcPr>
          <w:p w14:paraId="063D46FC" w14:textId="4E6597A2"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1</w:t>
            </w:r>
            <w:r>
              <w:rPr>
                <w:rFonts w:ascii="Century Gothic" w:hAnsi="Century Gothic"/>
              </w:rPr>
              <w:t>2</w:t>
            </w:r>
            <w:r w:rsidRPr="00FA7341">
              <w:rPr>
                <w:rFonts w:ascii="Century Gothic" w:hAnsi="Century Gothic"/>
              </w:rPr>
              <w:t xml:space="preserve">0000 </w:t>
            </w:r>
          </w:p>
        </w:tc>
        <w:tc>
          <w:tcPr>
            <w:tcW w:w="1481" w:type="dxa"/>
          </w:tcPr>
          <w:p w14:paraId="77D8DA88" w14:textId="43190CEE" w:rsidR="00AC29C1" w:rsidRPr="00FA7341" w:rsidRDefault="00AC29C1" w:rsidP="00C816B0">
            <w:pPr>
              <w:spacing w:after="0" w:line="240" w:lineRule="auto"/>
              <w:jc w:val="both"/>
              <w:rPr>
                <w:rFonts w:ascii="Century Gothic" w:hAnsi="Century Gothic"/>
              </w:rPr>
            </w:pPr>
            <w:r>
              <w:rPr>
                <w:rFonts w:ascii="Century Gothic" w:hAnsi="Century Gothic"/>
              </w:rPr>
              <w:t>84</w:t>
            </w:r>
            <w:r w:rsidRPr="00FA7341">
              <w:rPr>
                <w:rFonts w:ascii="Century Gothic" w:hAnsi="Century Gothic"/>
              </w:rPr>
              <w:t>1</w:t>
            </w:r>
            <w:r>
              <w:rPr>
                <w:rFonts w:ascii="Century Gothic" w:hAnsi="Century Gothic"/>
              </w:rPr>
              <w:t>218</w:t>
            </w:r>
            <w:r w:rsidRPr="00FA7341">
              <w:rPr>
                <w:rFonts w:ascii="Century Gothic" w:hAnsi="Century Gothic"/>
              </w:rPr>
              <w:t>0</w:t>
            </w:r>
            <w:r>
              <w:rPr>
                <w:rFonts w:ascii="Century Gothic" w:hAnsi="Century Gothic"/>
              </w:rPr>
              <w:t>4</w:t>
            </w:r>
            <w:r w:rsidRPr="00FA7341">
              <w:rPr>
                <w:rFonts w:ascii="Century Gothic" w:hAnsi="Century Gothic"/>
              </w:rPr>
              <w:t xml:space="preserve"> </w:t>
            </w:r>
          </w:p>
        </w:tc>
        <w:tc>
          <w:tcPr>
            <w:tcW w:w="2261" w:type="dxa"/>
          </w:tcPr>
          <w:p w14:paraId="55447AF5" w14:textId="691F92E2" w:rsidR="00AC29C1" w:rsidRPr="00FA7341" w:rsidRDefault="00AC29C1" w:rsidP="00C816B0">
            <w:pPr>
              <w:spacing w:after="0" w:line="240" w:lineRule="auto"/>
              <w:jc w:val="both"/>
              <w:rPr>
                <w:rFonts w:ascii="Century Gothic" w:hAnsi="Century Gothic"/>
              </w:rPr>
            </w:pPr>
            <w:r w:rsidRPr="00AC29C1">
              <w:rPr>
                <w:rFonts w:ascii="Century Gothic" w:hAnsi="Century Gothic"/>
              </w:rPr>
              <w:t>Bonos emitidos por el sector privado</w:t>
            </w:r>
          </w:p>
        </w:tc>
      </w:tr>
      <w:tr w:rsidR="00AC29C1" w:rsidRPr="00FA7341" w14:paraId="4B21B1CF" w14:textId="77777777" w:rsidTr="00AC29C1">
        <w:trPr>
          <w:jc w:val="center"/>
        </w:trPr>
        <w:tc>
          <w:tcPr>
            <w:tcW w:w="1781" w:type="dxa"/>
          </w:tcPr>
          <w:p w14:paraId="2CE3BEB8" w14:textId="46C3A37C" w:rsidR="00AC29C1" w:rsidRPr="00FA7341" w:rsidRDefault="00AC29C1" w:rsidP="00C816B0">
            <w:pPr>
              <w:spacing w:after="0" w:line="240" w:lineRule="auto"/>
              <w:jc w:val="both"/>
              <w:rPr>
                <w:rFonts w:ascii="Century Gothic" w:hAnsi="Century Gothic"/>
              </w:rPr>
            </w:pPr>
            <w:r>
              <w:rPr>
                <w:rFonts w:ascii="Century Gothic" w:hAnsi="Century Gothic"/>
              </w:rPr>
              <w:t>91</w:t>
            </w:r>
            <w:r w:rsidRPr="00FA7341">
              <w:rPr>
                <w:rFonts w:ascii="Century Gothic" w:hAnsi="Century Gothic"/>
              </w:rPr>
              <w:t xml:space="preserve">000000 </w:t>
            </w:r>
          </w:p>
        </w:tc>
        <w:tc>
          <w:tcPr>
            <w:tcW w:w="1455" w:type="dxa"/>
          </w:tcPr>
          <w:p w14:paraId="38186D10" w14:textId="64493B9B" w:rsidR="00AC29C1" w:rsidRPr="00FA7341" w:rsidRDefault="00AC29C1" w:rsidP="00C816B0">
            <w:pPr>
              <w:spacing w:after="0" w:line="240" w:lineRule="auto"/>
              <w:jc w:val="both"/>
              <w:rPr>
                <w:rFonts w:ascii="Century Gothic" w:hAnsi="Century Gothic"/>
              </w:rPr>
            </w:pPr>
            <w:r>
              <w:rPr>
                <w:rFonts w:ascii="Century Gothic" w:hAnsi="Century Gothic"/>
              </w:rPr>
              <w:t>91</w:t>
            </w:r>
            <w:r w:rsidRPr="00FA7341">
              <w:rPr>
                <w:rFonts w:ascii="Century Gothic" w:hAnsi="Century Gothic"/>
              </w:rPr>
              <w:t>1</w:t>
            </w:r>
            <w:r>
              <w:rPr>
                <w:rFonts w:ascii="Century Gothic" w:hAnsi="Century Gothic"/>
              </w:rPr>
              <w:t>1</w:t>
            </w:r>
            <w:r w:rsidRPr="00FA7341">
              <w:rPr>
                <w:rFonts w:ascii="Century Gothic" w:hAnsi="Century Gothic"/>
              </w:rPr>
              <w:t xml:space="preserve">0000 </w:t>
            </w:r>
          </w:p>
        </w:tc>
        <w:tc>
          <w:tcPr>
            <w:tcW w:w="1481" w:type="dxa"/>
          </w:tcPr>
          <w:p w14:paraId="1C1CDEF3" w14:textId="0D55D80B" w:rsidR="00AC29C1" w:rsidRPr="00FA7341" w:rsidRDefault="00AC29C1" w:rsidP="00C816B0">
            <w:pPr>
              <w:spacing w:after="0" w:line="240" w:lineRule="auto"/>
              <w:jc w:val="both"/>
              <w:rPr>
                <w:rFonts w:ascii="Century Gothic" w:hAnsi="Century Gothic"/>
              </w:rPr>
            </w:pPr>
            <w:r>
              <w:rPr>
                <w:rFonts w:ascii="Century Gothic" w:hAnsi="Century Gothic"/>
              </w:rPr>
              <w:t>91</w:t>
            </w:r>
            <w:r w:rsidRPr="00FA7341">
              <w:rPr>
                <w:rFonts w:ascii="Century Gothic" w:hAnsi="Century Gothic"/>
              </w:rPr>
              <w:t>1</w:t>
            </w:r>
            <w:r>
              <w:rPr>
                <w:rFonts w:ascii="Century Gothic" w:hAnsi="Century Gothic"/>
              </w:rPr>
              <w:t>11700</w:t>
            </w:r>
            <w:r w:rsidRPr="00FA7341">
              <w:rPr>
                <w:rFonts w:ascii="Century Gothic" w:hAnsi="Century Gothic"/>
              </w:rPr>
              <w:t xml:space="preserve"> </w:t>
            </w:r>
          </w:p>
        </w:tc>
        <w:tc>
          <w:tcPr>
            <w:tcW w:w="2261" w:type="dxa"/>
          </w:tcPr>
          <w:p w14:paraId="1AA1C57B" w14:textId="1E8FB0F8" w:rsidR="00AC29C1" w:rsidRPr="00FA7341" w:rsidRDefault="00AC29C1" w:rsidP="00C816B0">
            <w:pPr>
              <w:spacing w:after="0" w:line="240" w:lineRule="auto"/>
              <w:jc w:val="both"/>
              <w:rPr>
                <w:rFonts w:ascii="Century Gothic" w:hAnsi="Century Gothic"/>
              </w:rPr>
            </w:pPr>
            <w:r w:rsidRPr="00AC29C1">
              <w:rPr>
                <w:rFonts w:ascii="Century Gothic" w:hAnsi="Century Gothic"/>
              </w:rPr>
              <w:t>Servicios de compra y trueque de consumo</w:t>
            </w:r>
          </w:p>
        </w:tc>
      </w:tr>
    </w:tbl>
    <w:p w14:paraId="2B706EFD" w14:textId="77777777" w:rsidR="00041903" w:rsidRPr="00FA7341" w:rsidRDefault="00041903" w:rsidP="006626DB">
      <w:pPr>
        <w:spacing w:after="0" w:line="240" w:lineRule="auto"/>
        <w:jc w:val="center"/>
        <w:rPr>
          <w:rFonts w:ascii="Century Gothic" w:hAnsi="Century Gothic" w:cs="Arial"/>
          <w:bCs/>
          <w:i/>
          <w:iCs/>
          <w:color w:val="000000"/>
        </w:rPr>
      </w:pPr>
    </w:p>
    <w:p w14:paraId="1D84B04B" w14:textId="7D61C932" w:rsidR="005B1168" w:rsidRPr="00FA7341" w:rsidRDefault="005D79F7" w:rsidP="006626DB">
      <w:pPr>
        <w:spacing w:after="0" w:line="240" w:lineRule="auto"/>
        <w:jc w:val="center"/>
        <w:rPr>
          <w:rFonts w:ascii="Century Gothic" w:hAnsi="Century Gothic" w:cs="Arial"/>
          <w:bCs/>
          <w:i/>
          <w:iCs/>
          <w:color w:val="000000"/>
        </w:rPr>
      </w:pPr>
      <w:r w:rsidRPr="00FA7341">
        <w:rPr>
          <w:rFonts w:ascii="Century Gothic" w:hAnsi="Century Gothic" w:cs="Arial"/>
          <w:bCs/>
          <w:i/>
          <w:iCs/>
          <w:color w:val="000000"/>
        </w:rPr>
        <w:t xml:space="preserve">FUENTE: </w:t>
      </w:r>
      <w:r w:rsidR="004C3A82" w:rsidRPr="00FA7341">
        <w:rPr>
          <w:rFonts w:ascii="Century Gothic" w:hAnsi="Century Gothic" w:cs="Arial"/>
          <w:bCs/>
          <w:i/>
          <w:iCs/>
          <w:color w:val="000000"/>
        </w:rPr>
        <w:t xml:space="preserve"> </w:t>
      </w:r>
      <w:r w:rsidRPr="00FA7341">
        <w:rPr>
          <w:rFonts w:ascii="Century Gothic" w:hAnsi="Century Gothic" w:cs="Arial"/>
          <w:bCs/>
          <w:i/>
          <w:iCs/>
          <w:color w:val="000000"/>
        </w:rPr>
        <w:t>elaboración propia (</w:t>
      </w:r>
      <w:r w:rsidR="00ED4E1B" w:rsidRPr="00FA7341">
        <w:rPr>
          <w:rFonts w:ascii="Century Gothic" w:hAnsi="Century Gothic" w:cs="Arial"/>
          <w:bCs/>
          <w:i/>
          <w:iCs/>
          <w:color w:val="000000"/>
        </w:rPr>
        <w:t>Departamento</w:t>
      </w:r>
      <w:r w:rsidR="0001344F" w:rsidRPr="00FA7341">
        <w:rPr>
          <w:rFonts w:ascii="Century Gothic" w:hAnsi="Century Gothic" w:cs="Arial"/>
          <w:bCs/>
          <w:i/>
          <w:iCs/>
          <w:color w:val="000000"/>
        </w:rPr>
        <w:t xml:space="preserve"> de Cundinamarca</w:t>
      </w:r>
      <w:r w:rsidR="006626DB" w:rsidRPr="00FA7341">
        <w:rPr>
          <w:rFonts w:ascii="Century Gothic" w:hAnsi="Century Gothic" w:cs="Arial"/>
          <w:bCs/>
          <w:i/>
          <w:iCs/>
          <w:color w:val="000000"/>
        </w:rPr>
        <w:t>)</w:t>
      </w:r>
    </w:p>
    <w:p w14:paraId="2C131BA9" w14:textId="77777777" w:rsidR="00073B16" w:rsidRDefault="00073B16" w:rsidP="00FF4238">
      <w:pPr>
        <w:spacing w:after="0" w:line="240" w:lineRule="auto"/>
        <w:rPr>
          <w:rFonts w:ascii="Century Gothic" w:eastAsia="Arial" w:hAnsi="Century Gothic" w:cs="Arial"/>
          <w:color w:val="000000"/>
        </w:rPr>
      </w:pPr>
    </w:p>
    <w:p w14:paraId="724F3CDC" w14:textId="77777777" w:rsidR="00252D3D" w:rsidRDefault="00252D3D" w:rsidP="00252D3D">
      <w:pPr>
        <w:spacing w:after="0" w:line="240" w:lineRule="auto"/>
        <w:jc w:val="both"/>
        <w:rPr>
          <w:rFonts w:ascii="Century Gothic" w:eastAsia="Arial" w:hAnsi="Century Gothic" w:cs="Arial"/>
          <w:color w:val="000000"/>
        </w:rPr>
      </w:pPr>
      <w:r w:rsidRPr="00252D3D">
        <w:rPr>
          <w:rFonts w:ascii="Century Gothic" w:eastAsia="Arial" w:hAnsi="Century Gothic" w:cs="Arial"/>
          <w:color w:val="000000"/>
        </w:rPr>
        <w:t>Agentes que componen el sector El sector asociado al suministro de dotación laboral mediante bonos canjeables por vestuario y calzado está conformado por un conjunto de agentes que participan desde distintos roles, en el marco de la normatividad laboral y de empleo público vigente y de las condiciones propias del mercado de intermediación comercial y tecnológica. La identificación de estos actores resulta relevante para el Estudio del Sector, en la medida en que permite comprender el entorno institucional, operativo y organizacional en el que se desarrolla la contratación, así como las capacidades existentes para garantizar el cumplimiento efectivo de la obligación legal de dotación a los servidores públicos.</w:t>
      </w:r>
    </w:p>
    <w:p w14:paraId="4D39FDDC" w14:textId="77777777" w:rsidR="00252D3D" w:rsidRDefault="00252D3D" w:rsidP="00252D3D">
      <w:pPr>
        <w:spacing w:after="0" w:line="240" w:lineRule="auto"/>
        <w:jc w:val="both"/>
        <w:rPr>
          <w:rFonts w:ascii="Century Gothic" w:eastAsia="Arial" w:hAnsi="Century Gothic" w:cs="Arial"/>
          <w:color w:val="000000"/>
        </w:rPr>
      </w:pPr>
    </w:p>
    <w:p w14:paraId="3AF44261" w14:textId="64DEAA59" w:rsidR="00252D3D" w:rsidRDefault="00252D3D" w:rsidP="00252D3D">
      <w:pPr>
        <w:spacing w:after="0" w:line="240" w:lineRule="auto"/>
        <w:jc w:val="both"/>
        <w:rPr>
          <w:rFonts w:ascii="Century Gothic" w:eastAsia="Arial" w:hAnsi="Century Gothic" w:cs="Arial"/>
          <w:color w:val="000000"/>
        </w:rPr>
      </w:pPr>
      <w:r w:rsidRPr="00252D3D">
        <w:rPr>
          <w:rFonts w:ascii="Century Gothic" w:eastAsia="Arial" w:hAnsi="Century Gothic" w:cs="Arial"/>
          <w:color w:val="000000"/>
        </w:rPr>
        <w:t>En este contexto, el sector involucra entidades que ejercen funciones de regulación, orientación y control; operadores especializados en la emisión y administración de bonos o tarjetas; establecimientos de comercio que integran la red de redención; y gremios que representan al comercio organizado. Dentro de los organismos de orientación y regulación se encuentran las entidades responsables de la política laboral, la gestión del empleo público, la protección del consumidor y la vigilancia de las actividades económicas, cuyas directrices inciden en la forma en que las entidades estatales cumplen la prestación social de dotación y contratan los mecanismos para su suministro.</w:t>
      </w:r>
    </w:p>
    <w:p w14:paraId="7DDAB45C" w14:textId="77777777" w:rsidR="00252D3D" w:rsidRDefault="00252D3D" w:rsidP="00252D3D">
      <w:pPr>
        <w:spacing w:after="0" w:line="240" w:lineRule="auto"/>
        <w:jc w:val="both"/>
        <w:rPr>
          <w:rFonts w:ascii="Century Gothic" w:eastAsia="Arial" w:hAnsi="Century Gothic" w:cs="Arial"/>
          <w:color w:val="000000"/>
        </w:rPr>
      </w:pPr>
    </w:p>
    <w:p w14:paraId="43C76D0B" w14:textId="77777777" w:rsidR="00252D3D" w:rsidRDefault="00252D3D" w:rsidP="00252D3D">
      <w:pPr>
        <w:spacing w:after="0" w:line="240" w:lineRule="auto"/>
        <w:jc w:val="both"/>
        <w:rPr>
          <w:rFonts w:ascii="Century Gothic" w:eastAsia="Arial" w:hAnsi="Century Gothic" w:cs="Arial"/>
          <w:color w:val="000000"/>
        </w:rPr>
      </w:pPr>
      <w:r w:rsidRPr="00252D3D">
        <w:rPr>
          <w:rFonts w:ascii="Century Gothic" w:eastAsia="Arial" w:hAnsi="Century Gothic" w:cs="Arial"/>
          <w:color w:val="000000"/>
        </w:rPr>
        <w:t xml:space="preserve">En cuanto a los operadores del mercado, la oferta está compuesta principalmente por empresas especializadas en la administración de beneficios corporativos y en </w:t>
      </w:r>
      <w:r w:rsidRPr="00252D3D">
        <w:rPr>
          <w:rFonts w:ascii="Century Gothic" w:eastAsia="Arial" w:hAnsi="Century Gothic" w:cs="Arial"/>
          <w:color w:val="000000"/>
        </w:rPr>
        <w:lastRenderedPageBreak/>
        <w:t>la emisión de bonos o tarjetas redimibles, que disponen de infraestructura tecnológica, redes de comercios afiliados, sistemas de control transaccional y capacidades logísticas para la distribución y seguimiento del beneficio. Estos operadores actúan como intermediarios entre la entidad contratante y los establecimientos de comercio, garantizando trazabilidad, control del uso y cobertura geográfica para los beneficiarios.</w:t>
      </w:r>
    </w:p>
    <w:p w14:paraId="5CDCD577" w14:textId="77777777" w:rsidR="00252D3D" w:rsidRDefault="00252D3D" w:rsidP="00252D3D">
      <w:pPr>
        <w:spacing w:after="0" w:line="240" w:lineRule="auto"/>
        <w:jc w:val="both"/>
        <w:rPr>
          <w:rFonts w:ascii="Century Gothic" w:eastAsia="Arial" w:hAnsi="Century Gothic" w:cs="Arial"/>
          <w:color w:val="000000"/>
        </w:rPr>
      </w:pPr>
    </w:p>
    <w:p w14:paraId="7CEC6261" w14:textId="77777777" w:rsidR="00252D3D" w:rsidRDefault="00252D3D" w:rsidP="00252D3D">
      <w:pPr>
        <w:spacing w:after="0" w:line="240" w:lineRule="auto"/>
        <w:jc w:val="both"/>
        <w:rPr>
          <w:rFonts w:ascii="Century Gothic" w:eastAsia="Arial" w:hAnsi="Century Gothic" w:cs="Arial"/>
          <w:color w:val="000000"/>
        </w:rPr>
      </w:pPr>
      <w:r w:rsidRPr="00252D3D">
        <w:rPr>
          <w:rFonts w:ascii="Century Gothic" w:eastAsia="Arial" w:hAnsi="Century Gothic" w:cs="Arial"/>
          <w:color w:val="000000"/>
        </w:rPr>
        <w:t>De manera complementaria, participan los establecimientos de comercio dedicados a la venta de vestuario y calzado, que conforman la red de redención y permiten materializar la prestación social mediante la adquisición de los bienes autorizados. Asimismo, intervienen gremios del sector comercio que agrupan a los establecimientos afiliados y contribuyen a la articulación del mercado, facilitando la ampliación de la cobertura y la estandarización de prácticas comerciales.</w:t>
      </w:r>
    </w:p>
    <w:p w14:paraId="4202DC40" w14:textId="77777777" w:rsidR="00252D3D" w:rsidRDefault="00252D3D" w:rsidP="00252D3D">
      <w:pPr>
        <w:spacing w:after="0" w:line="240" w:lineRule="auto"/>
        <w:jc w:val="both"/>
        <w:rPr>
          <w:rFonts w:ascii="Century Gothic" w:eastAsia="Arial" w:hAnsi="Century Gothic" w:cs="Arial"/>
          <w:color w:val="000000"/>
        </w:rPr>
      </w:pPr>
    </w:p>
    <w:p w14:paraId="0295F630" w14:textId="138720D2" w:rsidR="00252D3D" w:rsidRDefault="00252D3D" w:rsidP="00252D3D">
      <w:pPr>
        <w:spacing w:after="0" w:line="240" w:lineRule="auto"/>
        <w:jc w:val="both"/>
        <w:rPr>
          <w:rFonts w:ascii="Century Gothic" w:eastAsia="Arial" w:hAnsi="Century Gothic" w:cs="Arial"/>
          <w:color w:val="000000"/>
        </w:rPr>
      </w:pPr>
      <w:r w:rsidRPr="00252D3D">
        <w:rPr>
          <w:rFonts w:ascii="Century Gothic" w:eastAsia="Arial" w:hAnsi="Century Gothic" w:cs="Arial"/>
          <w:color w:val="000000"/>
        </w:rPr>
        <w:t>La interacción de estos actores configura un ecosistema de prestación de servicios basado en la intermediación comercial y tecnológica, caracterizado por una demanda obligatoria y periódica derivada del cumplimiento normativo, y por una oferta especializada que ha evolucionado hacia modelos digitales que fortalecen la trazabilidad, el control del gasto y la eficiencia en la contratación pública.</w:t>
      </w:r>
    </w:p>
    <w:p w14:paraId="17AF2A6F" w14:textId="77777777" w:rsidR="00252D3D" w:rsidRPr="00FA7341" w:rsidRDefault="00252D3D" w:rsidP="00252D3D">
      <w:pPr>
        <w:spacing w:after="0" w:line="240" w:lineRule="auto"/>
        <w:jc w:val="both"/>
        <w:rPr>
          <w:rFonts w:ascii="Century Gothic" w:eastAsia="Arial" w:hAnsi="Century Gothic" w:cs="Arial"/>
          <w:color w:val="000000"/>
        </w:rPr>
      </w:pPr>
    </w:p>
    <w:p w14:paraId="3461A089" w14:textId="77777777" w:rsidR="005D79F7" w:rsidRPr="00FA7341" w:rsidRDefault="005D79F7" w:rsidP="007369E7">
      <w:pPr>
        <w:pStyle w:val="Ttulo2"/>
        <w:widowControl w:val="0"/>
        <w:numPr>
          <w:ilvl w:val="1"/>
          <w:numId w:val="1"/>
        </w:numPr>
        <w:shd w:val="clear" w:color="auto" w:fill="002060"/>
        <w:autoSpaceDE w:val="0"/>
        <w:autoSpaceDN w:val="0"/>
        <w:spacing w:before="0" w:line="240" w:lineRule="auto"/>
        <w:rPr>
          <w:rFonts w:ascii="Century Gothic" w:hAnsi="Century Gothic" w:cs="Arial"/>
          <w:color w:val="FFFFFF"/>
          <w:sz w:val="22"/>
          <w:szCs w:val="22"/>
        </w:rPr>
      </w:pPr>
      <w:bookmarkStart w:id="4" w:name="_Toc232673889"/>
      <w:r w:rsidRPr="00FA7341">
        <w:rPr>
          <w:rFonts w:ascii="Century Gothic" w:hAnsi="Century Gothic" w:cs="Arial"/>
          <w:color w:val="FFFFFF"/>
          <w:sz w:val="22"/>
          <w:szCs w:val="22"/>
        </w:rPr>
        <w:t>CONTEXTO ECONÓMICO:</w:t>
      </w:r>
      <w:bookmarkEnd w:id="4"/>
    </w:p>
    <w:p w14:paraId="20586E0E" w14:textId="77777777" w:rsidR="005D79F7" w:rsidRPr="00FA7341" w:rsidRDefault="005D79F7" w:rsidP="007369E7">
      <w:pPr>
        <w:spacing w:after="0" w:line="240" w:lineRule="auto"/>
        <w:jc w:val="both"/>
        <w:rPr>
          <w:rFonts w:ascii="Century Gothic" w:hAnsi="Century Gothic" w:cs="Arial"/>
        </w:rPr>
      </w:pPr>
    </w:p>
    <w:p w14:paraId="7B82D118" w14:textId="77777777" w:rsidR="005D79F7" w:rsidRPr="00FA7341" w:rsidRDefault="005D79F7" w:rsidP="007369E7">
      <w:pPr>
        <w:pStyle w:val="Ttulo3"/>
        <w:widowControl w:val="0"/>
        <w:numPr>
          <w:ilvl w:val="2"/>
          <w:numId w:val="1"/>
        </w:numPr>
        <w:shd w:val="clear" w:color="auto" w:fill="002060"/>
        <w:autoSpaceDE w:val="0"/>
        <w:autoSpaceDN w:val="0"/>
        <w:spacing w:before="0" w:line="240" w:lineRule="auto"/>
        <w:rPr>
          <w:rFonts w:ascii="Century Gothic" w:hAnsi="Century Gothic" w:cs="Arial"/>
          <w:color w:val="FFFFFF"/>
        </w:rPr>
      </w:pPr>
      <w:bookmarkStart w:id="5" w:name="_Toc232673890"/>
      <w:r w:rsidRPr="00FA7341">
        <w:rPr>
          <w:rFonts w:ascii="Century Gothic" w:hAnsi="Century Gothic" w:cs="Arial"/>
          <w:color w:val="FFFFFF"/>
        </w:rPr>
        <w:t>ÍNDICE DE PRECIOS AL CONSUMIDOR</w:t>
      </w:r>
      <w:bookmarkEnd w:id="5"/>
    </w:p>
    <w:p w14:paraId="649C86E5" w14:textId="77777777" w:rsidR="005D79F7" w:rsidRPr="00FA7341" w:rsidRDefault="005D79F7" w:rsidP="007369E7">
      <w:pPr>
        <w:spacing w:after="0" w:line="240" w:lineRule="auto"/>
        <w:jc w:val="both"/>
        <w:rPr>
          <w:rFonts w:ascii="Century Gothic" w:hAnsi="Century Gothic" w:cs="Arial"/>
        </w:rPr>
      </w:pPr>
    </w:p>
    <w:p w14:paraId="63EFDEB9" w14:textId="77777777" w:rsidR="005D79F7" w:rsidRPr="00FA7341" w:rsidRDefault="005D79F7" w:rsidP="007369E7">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Cuando se hace referencia al Índice de Precios al Consumidor (IPC) se debe tener en cuenta que este mide la evolución del costo promedio de una canasta de bienes y servicios representativa del consumo final de los hogares, expresado en relación con un período base. La variación porcentual del IPC entre dos periodos de tiempo representa la inflación observada en dicho lapso.</w:t>
      </w:r>
    </w:p>
    <w:p w14:paraId="04404FC1" w14:textId="77777777" w:rsidR="005D79F7" w:rsidRPr="00FA7341" w:rsidRDefault="005D79F7" w:rsidP="007369E7">
      <w:pPr>
        <w:spacing w:after="0" w:line="240" w:lineRule="auto"/>
        <w:jc w:val="both"/>
        <w:rPr>
          <w:rFonts w:ascii="Century Gothic" w:eastAsia="Arial" w:hAnsi="Century Gothic" w:cs="Arial"/>
          <w:color w:val="000000"/>
        </w:rPr>
      </w:pPr>
    </w:p>
    <w:p w14:paraId="32404BD9" w14:textId="77777777" w:rsidR="005D79F7" w:rsidRPr="00FA7341" w:rsidRDefault="005D79F7" w:rsidP="007369E7">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El cálculo del IPC para Colombia se hace mensualmente en el Departamento Administrativo Nacional de Estadística (DANE). Este índice es constantemente frecuentado porque participa como base fundamental para el ajuste de otras variables económicas como es el caso del valor del salario mínimo, entre otros. </w:t>
      </w:r>
    </w:p>
    <w:p w14:paraId="67AA882A" w14:textId="77777777" w:rsidR="00F2403D" w:rsidRPr="00FA7341" w:rsidRDefault="00F2403D" w:rsidP="007369E7">
      <w:pPr>
        <w:spacing w:after="0" w:line="240" w:lineRule="auto"/>
        <w:jc w:val="both"/>
        <w:rPr>
          <w:rFonts w:ascii="Century Gothic" w:eastAsia="Arial" w:hAnsi="Century Gothic" w:cs="Arial"/>
          <w:color w:val="000000"/>
        </w:rPr>
      </w:pPr>
    </w:p>
    <w:p w14:paraId="3A053538" w14:textId="3AB13C61" w:rsidR="004C3A82" w:rsidRPr="00FA7341" w:rsidRDefault="00DB4D9C" w:rsidP="006670E7">
      <w:pPr>
        <w:spacing w:after="0"/>
        <w:jc w:val="center"/>
        <w:rPr>
          <w:rFonts w:ascii="Century Gothic" w:hAnsi="Century Gothic" w:cs="Arial"/>
          <w:noProof/>
          <w:highlight w:val="yellow"/>
          <w:lang w:eastAsia="es-CO"/>
        </w:rPr>
      </w:pPr>
      <w:r w:rsidRPr="00FA7341">
        <w:rPr>
          <w:rFonts w:ascii="Century Gothic" w:hAnsi="Century Gothic" w:cs="Arial"/>
          <w:noProof/>
          <w:lang w:eastAsia="es-CO"/>
        </w:rPr>
        <w:lastRenderedPageBreak/>
        <w:drawing>
          <wp:inline distT="0" distB="0" distL="0" distR="0" wp14:anchorId="3C6625C9" wp14:editId="24D5026B">
            <wp:extent cx="5105400" cy="2019300"/>
            <wp:effectExtent l="0" t="0" r="0" b="0"/>
            <wp:docPr id="14918547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854770" name=""/>
                    <pic:cNvPicPr/>
                  </pic:nvPicPr>
                  <pic:blipFill>
                    <a:blip r:embed="rId12"/>
                    <a:stretch>
                      <a:fillRect/>
                    </a:stretch>
                  </pic:blipFill>
                  <pic:spPr>
                    <a:xfrm>
                      <a:off x="0" y="0"/>
                      <a:ext cx="5105400" cy="2019300"/>
                    </a:xfrm>
                    <a:prstGeom prst="rect">
                      <a:avLst/>
                    </a:prstGeom>
                  </pic:spPr>
                </pic:pic>
              </a:graphicData>
            </a:graphic>
          </wp:inline>
        </w:drawing>
      </w:r>
    </w:p>
    <w:p w14:paraId="03353DA5" w14:textId="77777777" w:rsidR="004C3A82" w:rsidRPr="00FA7341" w:rsidRDefault="004C3A82" w:rsidP="006670E7">
      <w:pPr>
        <w:spacing w:after="0"/>
        <w:jc w:val="center"/>
        <w:rPr>
          <w:rFonts w:ascii="Century Gothic" w:hAnsi="Century Gothic" w:cs="Arial"/>
        </w:rPr>
      </w:pPr>
      <w:r w:rsidRPr="00FA7341">
        <w:rPr>
          <w:rFonts w:ascii="Century Gothic" w:hAnsi="Century Gothic" w:cs="Arial"/>
        </w:rPr>
        <w:t xml:space="preserve">Fuente: Cifras provenientes del Departamento Administrativo Nacional de Estadística (DANE) </w:t>
      </w:r>
      <w:hyperlink r:id="rId13">
        <w:r w:rsidRPr="00FA7341">
          <w:rPr>
            <w:rStyle w:val="Hipervnculo"/>
            <w:rFonts w:ascii="Century Gothic" w:hAnsi="Century Gothic" w:cs="Arial"/>
          </w:rPr>
          <w:t>(www.dane.gov.co</w:t>
        </w:r>
      </w:hyperlink>
      <w:r w:rsidRPr="00FA7341">
        <w:rPr>
          <w:rFonts w:ascii="Century Gothic" w:hAnsi="Century Gothic" w:cs="Arial"/>
        </w:rPr>
        <w:t>).</w:t>
      </w:r>
    </w:p>
    <w:p w14:paraId="4E21C91E" w14:textId="77777777" w:rsidR="005B1168" w:rsidRPr="00FA7341" w:rsidRDefault="005B1168" w:rsidP="007369E7">
      <w:pPr>
        <w:spacing w:after="0"/>
        <w:jc w:val="both"/>
        <w:rPr>
          <w:rFonts w:ascii="Century Gothic" w:hAnsi="Century Gothic" w:cs="Arial"/>
          <w:b/>
          <w:bCs/>
          <w:i/>
          <w:iCs/>
          <w:color w:val="FF0000"/>
          <w:u w:val="single"/>
        </w:rPr>
      </w:pPr>
    </w:p>
    <w:p w14:paraId="31495ACE" w14:textId="7ACDD5C3" w:rsidR="00895F30" w:rsidRPr="00FA7341" w:rsidRDefault="00DB4D9C" w:rsidP="00895F30">
      <w:pPr>
        <w:spacing w:after="0"/>
        <w:ind w:right="-61"/>
        <w:jc w:val="both"/>
        <w:rPr>
          <w:rFonts w:ascii="Century Gothic" w:hAnsi="Century Gothic" w:cs="Arial"/>
        </w:rPr>
      </w:pPr>
      <w:r w:rsidRPr="00FA7341">
        <w:rPr>
          <w:rFonts w:ascii="Century Gothic" w:hAnsi="Century Gothic" w:cs="Arial"/>
        </w:rPr>
        <w:t>En febrero de 2026 la variación mensual del IPC fue 1,08%, la variación año corrido fue 2,27% y la anual 5,29%. En febrero de 2026 la variación anual del IPC fue 5,29%, es decir, 0,01 puntos porcentuales mayor que la reportada en el mismo periodo del año anterior, cuando fue de 5,28%. El comportamiento mensual del IPC total en febrero de 2026 (1,08%) se explicó principalmente por la variación mensual de las divisiones Alimentos y bebidas no alcohólicas y Educación. Las mayores variaciones se presentaron en las divisiones Educación (5,64%) y Restaurantes y hoteles (1,38%)</w:t>
      </w:r>
      <w:r w:rsidR="00895F30" w:rsidRPr="00FA7341">
        <w:rPr>
          <w:rFonts w:ascii="Century Gothic" w:hAnsi="Century Gothic" w:cs="Arial"/>
        </w:rPr>
        <w:t>.</w:t>
      </w:r>
    </w:p>
    <w:p w14:paraId="7C7A7466" w14:textId="77777777" w:rsidR="00895F30" w:rsidRPr="00FA7341" w:rsidRDefault="00895F30" w:rsidP="007369E7">
      <w:pPr>
        <w:spacing w:after="0"/>
        <w:jc w:val="both"/>
        <w:rPr>
          <w:rFonts w:ascii="Century Gothic" w:hAnsi="Century Gothic" w:cs="Arial"/>
          <w:noProof/>
          <w:lang w:eastAsia="es-CO"/>
        </w:rPr>
      </w:pPr>
    </w:p>
    <w:p w14:paraId="23C5A058" w14:textId="4063A7E7" w:rsidR="004C3A82" w:rsidRPr="00FA7341" w:rsidRDefault="004C3A82" w:rsidP="007369E7">
      <w:pPr>
        <w:spacing w:after="0"/>
        <w:jc w:val="both"/>
        <w:rPr>
          <w:rFonts w:ascii="Century Gothic" w:eastAsia="Arial" w:hAnsi="Century Gothic" w:cs="Arial"/>
          <w:color w:val="000000"/>
        </w:rPr>
      </w:pPr>
      <w:r w:rsidRPr="00FA7341">
        <w:rPr>
          <w:rFonts w:ascii="Century Gothic" w:eastAsia="Arial" w:hAnsi="Century Gothic" w:cs="Arial"/>
          <w:color w:val="000000"/>
        </w:rPr>
        <w:t xml:space="preserve">Para el presente proceso es fundamental involucrar el indicador del Índice de Precios al Consumidor, por cuanto es una variable macroeconómica que se emplea para actualizar los valores de los bienes y servicios del país y para el presente caso el valor del IPC tiene un efecto directo en la estructuración del presupuesto de cada uno de los bienes y servicios que lo integran (salarios, prestaciones, tasas y contribuciones, insumos para la producción y otros). </w:t>
      </w:r>
    </w:p>
    <w:p w14:paraId="1C673522" w14:textId="77777777" w:rsidR="005B1168" w:rsidRPr="00FA7341" w:rsidRDefault="005B1168" w:rsidP="007369E7">
      <w:pPr>
        <w:spacing w:after="0"/>
        <w:jc w:val="both"/>
        <w:rPr>
          <w:rFonts w:ascii="Century Gothic" w:eastAsia="Arial" w:hAnsi="Century Gothic" w:cs="Arial"/>
          <w:color w:val="000000"/>
        </w:rPr>
      </w:pPr>
    </w:p>
    <w:p w14:paraId="6FA51A85" w14:textId="77777777" w:rsidR="005D79F7" w:rsidRPr="00FA7341" w:rsidRDefault="005D79F7" w:rsidP="007369E7">
      <w:pPr>
        <w:pStyle w:val="Ttulo3"/>
        <w:widowControl w:val="0"/>
        <w:numPr>
          <w:ilvl w:val="2"/>
          <w:numId w:val="1"/>
        </w:numPr>
        <w:shd w:val="clear" w:color="auto" w:fill="002060"/>
        <w:autoSpaceDE w:val="0"/>
        <w:autoSpaceDN w:val="0"/>
        <w:spacing w:before="0" w:line="240" w:lineRule="auto"/>
        <w:rPr>
          <w:rFonts w:ascii="Century Gothic" w:hAnsi="Century Gothic" w:cs="Arial"/>
          <w:color w:val="FFFFFF"/>
        </w:rPr>
      </w:pPr>
      <w:bookmarkStart w:id="6" w:name="_Toc232673891"/>
      <w:r w:rsidRPr="00FA7341">
        <w:rPr>
          <w:rFonts w:ascii="Century Gothic" w:hAnsi="Century Gothic" w:cs="Arial"/>
          <w:color w:val="FFFFFF"/>
        </w:rPr>
        <w:t>PRODUCTO INTERNO BRUTO</w:t>
      </w:r>
      <w:bookmarkEnd w:id="6"/>
    </w:p>
    <w:p w14:paraId="2BF75641" w14:textId="70D1FE7B" w:rsidR="005D79F7" w:rsidRPr="00FA7341" w:rsidRDefault="005D79F7" w:rsidP="007369E7">
      <w:pPr>
        <w:spacing w:after="0"/>
        <w:jc w:val="both"/>
        <w:rPr>
          <w:rFonts w:ascii="Century Gothic" w:hAnsi="Century Gothic" w:cs="Arial"/>
        </w:rPr>
      </w:pPr>
    </w:p>
    <w:p w14:paraId="4AB4D1B5" w14:textId="37081644" w:rsidR="005B0F68" w:rsidRPr="00FA7341" w:rsidRDefault="005B0F68" w:rsidP="007369E7">
      <w:pPr>
        <w:spacing w:after="0"/>
        <w:jc w:val="both"/>
        <w:rPr>
          <w:rFonts w:ascii="Century Gothic" w:hAnsi="Century Gothic" w:cs="Arial"/>
        </w:rPr>
      </w:pPr>
      <w:r w:rsidRPr="00FA7341">
        <w:rPr>
          <w:rFonts w:ascii="Century Gothic" w:hAnsi="Century Gothic" w:cs="Arial"/>
        </w:rPr>
        <w:t>El PIB es un indicador que permite evaluar el desempeño económico de un país. Se define como PIB el valor total de los bienes y servicios producidos en un país durante un cierto periodo de tiempo (generalmente un trimestre o un año); es decir, el total de lo que se produce con los recursos que se han utilizado en la economía, valorando cada bien final o servicio al precio que se maneja comúnmente en el mercado. Para el cálculo del PIB sólo se tiene en cuenta la producción que se realiza en el país, dentro de las fronteras geográficas de la nación, sin importar si esta producción fue realizada por personas o empresas nacionales o extranjeras.</w:t>
      </w:r>
    </w:p>
    <w:p w14:paraId="15DDDB48" w14:textId="3018E1A2" w:rsidR="005B0F68" w:rsidRPr="00FA7341" w:rsidRDefault="00C67A3C" w:rsidP="007369E7">
      <w:pPr>
        <w:pStyle w:val="Descripcin"/>
        <w:spacing w:after="0"/>
        <w:jc w:val="center"/>
        <w:rPr>
          <w:rFonts w:ascii="Century Gothic" w:hAnsi="Century Gothic" w:cs="Arial"/>
          <w:color w:val="0A2F41"/>
          <w:sz w:val="22"/>
          <w:szCs w:val="22"/>
        </w:rPr>
      </w:pPr>
      <w:bookmarkStart w:id="7" w:name="_Toc226395606"/>
      <w:r w:rsidRPr="00FA7341">
        <w:rPr>
          <w:rFonts w:ascii="Century Gothic" w:hAnsi="Century Gothic" w:cs="Arial"/>
          <w:color w:val="0A2F41"/>
          <w:sz w:val="22"/>
          <w:szCs w:val="22"/>
        </w:rPr>
        <w:lastRenderedPageBreak/>
        <w:t xml:space="preserve">Gráfico </w:t>
      </w:r>
      <w:r w:rsidRPr="00FA7341">
        <w:rPr>
          <w:rFonts w:ascii="Century Gothic" w:hAnsi="Century Gothic" w:cs="Arial"/>
          <w:color w:val="0A2F41"/>
          <w:sz w:val="22"/>
          <w:szCs w:val="22"/>
        </w:rPr>
        <w:fldChar w:fldCharType="begin"/>
      </w:r>
      <w:r w:rsidRPr="00FA7341">
        <w:rPr>
          <w:rFonts w:ascii="Century Gothic" w:hAnsi="Century Gothic" w:cs="Arial"/>
          <w:color w:val="0A2F41"/>
          <w:sz w:val="22"/>
          <w:szCs w:val="22"/>
        </w:rPr>
        <w:instrText xml:space="preserve"> SEQ Gráfico \* ARABIC </w:instrText>
      </w:r>
      <w:r w:rsidRPr="00FA7341">
        <w:rPr>
          <w:rFonts w:ascii="Century Gothic" w:hAnsi="Century Gothic" w:cs="Arial"/>
          <w:color w:val="0A2F41"/>
          <w:sz w:val="22"/>
          <w:szCs w:val="22"/>
        </w:rPr>
        <w:fldChar w:fldCharType="separate"/>
      </w:r>
      <w:r w:rsidR="00030ED5" w:rsidRPr="00FA7341">
        <w:rPr>
          <w:rFonts w:ascii="Century Gothic" w:hAnsi="Century Gothic" w:cs="Arial"/>
          <w:noProof/>
          <w:color w:val="0A2F41"/>
          <w:sz w:val="22"/>
          <w:szCs w:val="22"/>
        </w:rPr>
        <w:t>1</w:t>
      </w:r>
      <w:r w:rsidRPr="00FA7341">
        <w:rPr>
          <w:rFonts w:ascii="Century Gothic" w:hAnsi="Century Gothic" w:cs="Arial"/>
          <w:color w:val="0A2F41"/>
          <w:sz w:val="22"/>
          <w:szCs w:val="22"/>
        </w:rPr>
        <w:fldChar w:fldCharType="end"/>
      </w:r>
      <w:r w:rsidRPr="00FA7341">
        <w:rPr>
          <w:rFonts w:ascii="Century Gothic" w:hAnsi="Century Gothic" w:cs="Arial"/>
          <w:color w:val="0A2F41"/>
          <w:sz w:val="22"/>
          <w:szCs w:val="22"/>
        </w:rPr>
        <w:t xml:space="preserve"> PIB (Producción)</w:t>
      </w:r>
      <w:bookmarkEnd w:id="7"/>
    </w:p>
    <w:p w14:paraId="7B321A6A" w14:textId="2AA0FFB9" w:rsidR="005B0F68" w:rsidRPr="00FA7341" w:rsidRDefault="00B97E39" w:rsidP="007369E7">
      <w:pPr>
        <w:spacing w:after="0"/>
        <w:jc w:val="center"/>
        <w:rPr>
          <w:rFonts w:ascii="Century Gothic" w:hAnsi="Century Gothic" w:cs="Arial"/>
        </w:rPr>
      </w:pPr>
      <w:r w:rsidRPr="00FA7341">
        <w:rPr>
          <w:rFonts w:ascii="Century Gothic" w:hAnsi="Century Gothic" w:cs="Arial"/>
          <w:noProof/>
        </w:rPr>
        <w:drawing>
          <wp:inline distT="0" distB="0" distL="0" distR="0" wp14:anchorId="36852204" wp14:editId="6B8702BF">
            <wp:extent cx="4888230" cy="1971675"/>
            <wp:effectExtent l="0" t="0" r="7620" b="9525"/>
            <wp:docPr id="17598249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824995" name=""/>
                    <pic:cNvPicPr/>
                  </pic:nvPicPr>
                  <pic:blipFill>
                    <a:blip r:embed="rId14"/>
                    <a:stretch>
                      <a:fillRect/>
                    </a:stretch>
                  </pic:blipFill>
                  <pic:spPr>
                    <a:xfrm>
                      <a:off x="0" y="0"/>
                      <a:ext cx="4888230" cy="1971675"/>
                    </a:xfrm>
                    <a:prstGeom prst="rect">
                      <a:avLst/>
                    </a:prstGeom>
                  </pic:spPr>
                </pic:pic>
              </a:graphicData>
            </a:graphic>
          </wp:inline>
        </w:drawing>
      </w:r>
    </w:p>
    <w:p w14:paraId="1D357EA0" w14:textId="77777777" w:rsidR="005B0F68" w:rsidRPr="00FA7341" w:rsidRDefault="005B0F68" w:rsidP="007369E7">
      <w:pPr>
        <w:spacing w:after="0"/>
        <w:jc w:val="center"/>
        <w:rPr>
          <w:rFonts w:ascii="Century Gothic" w:hAnsi="Century Gothic" w:cs="Arial"/>
        </w:rPr>
      </w:pPr>
    </w:p>
    <w:p w14:paraId="2847710E" w14:textId="192842E0" w:rsidR="005B0F68" w:rsidRPr="00FA7341" w:rsidRDefault="005B0F68" w:rsidP="007369E7">
      <w:pPr>
        <w:spacing w:after="0"/>
        <w:jc w:val="center"/>
        <w:rPr>
          <w:rFonts w:ascii="Century Gothic" w:hAnsi="Century Gothic" w:cs="Arial"/>
        </w:rPr>
      </w:pPr>
      <w:r w:rsidRPr="00FA7341">
        <w:rPr>
          <w:rFonts w:ascii="Century Gothic" w:hAnsi="Century Gothic" w:cs="Arial"/>
        </w:rPr>
        <w:t xml:space="preserve">Fuente: Cifras provenientes del Departamento Administrativo Nacional de Estadística (DANE) </w:t>
      </w:r>
    </w:p>
    <w:p w14:paraId="20E00029" w14:textId="77777777" w:rsidR="00D0506E" w:rsidRPr="00FA7341" w:rsidRDefault="00D0506E" w:rsidP="007369E7">
      <w:pPr>
        <w:spacing w:after="0"/>
        <w:jc w:val="both"/>
        <w:rPr>
          <w:rFonts w:ascii="Century Gothic" w:hAnsi="Century Gothic" w:cs="Arial"/>
        </w:rPr>
      </w:pPr>
    </w:p>
    <w:p w14:paraId="0E44CB0A" w14:textId="419A705A" w:rsidR="00AF3181" w:rsidRPr="00FA7341" w:rsidRDefault="00B97E39" w:rsidP="00A377C1">
      <w:pPr>
        <w:spacing w:after="0"/>
        <w:jc w:val="both"/>
        <w:rPr>
          <w:rFonts w:ascii="Century Gothic" w:hAnsi="Century Gothic" w:cs="Arial"/>
        </w:rPr>
      </w:pPr>
      <w:r w:rsidRPr="00FA7341">
        <w:rPr>
          <w:rFonts w:ascii="Century Gothic" w:hAnsi="Century Gothic" w:cs="Arial"/>
        </w:rPr>
        <w:t>En el cuarto trimestre de 2025</w:t>
      </w:r>
      <w:r w:rsidRPr="00FA7341">
        <w:rPr>
          <w:rFonts w:ascii="Century Gothic" w:hAnsi="Century Gothic" w:cs="Arial"/>
          <w:vertAlign w:val="superscript"/>
        </w:rPr>
        <w:t>pr</w:t>
      </w:r>
      <w:r w:rsidRPr="00FA7341">
        <w:rPr>
          <w:rFonts w:ascii="Century Gothic" w:hAnsi="Century Gothic" w:cs="Arial"/>
        </w:rPr>
        <w:t>, el Producto Interno Bruto en su serie original, crece 2,3% respecto al mismo periodo de 2024</w:t>
      </w:r>
      <w:r w:rsidRPr="00FA7341">
        <w:rPr>
          <w:rFonts w:ascii="Century Gothic" w:hAnsi="Century Gothic" w:cs="Arial"/>
          <w:vertAlign w:val="superscript"/>
        </w:rPr>
        <w:t>p</w:t>
      </w:r>
      <w:r w:rsidRPr="00FA7341">
        <w:rPr>
          <w:rFonts w:ascii="Century Gothic" w:hAnsi="Century Gothic" w:cs="Arial"/>
        </w:rPr>
        <w:t>. Las actividades económicas que más contribuyen a la dinámica del valor agregado son</w:t>
      </w:r>
      <w:r w:rsidR="005B0F68" w:rsidRPr="00FA7341">
        <w:rPr>
          <w:rFonts w:ascii="Century Gothic" w:hAnsi="Century Gothic" w:cs="Arial"/>
        </w:rPr>
        <w:t>:</w:t>
      </w:r>
      <w:bookmarkStart w:id="8" w:name="_Toc192773258"/>
      <w:bookmarkStart w:id="9" w:name="_Ref176507837"/>
      <w:bookmarkStart w:id="10" w:name="_Toc179188775"/>
    </w:p>
    <w:p w14:paraId="7EF87EF8" w14:textId="77777777" w:rsidR="00AF3181" w:rsidRPr="00FA7341" w:rsidRDefault="00AF3181" w:rsidP="007369E7">
      <w:pPr>
        <w:pStyle w:val="Descripcin"/>
        <w:spacing w:after="0"/>
        <w:jc w:val="center"/>
        <w:rPr>
          <w:rFonts w:ascii="Century Gothic" w:hAnsi="Century Gothic" w:cs="Arial"/>
          <w:color w:val="0A2F41"/>
          <w:sz w:val="22"/>
          <w:szCs w:val="22"/>
        </w:rPr>
      </w:pPr>
    </w:p>
    <w:p w14:paraId="01AE26B8" w14:textId="641922A5" w:rsidR="00F2403D" w:rsidRPr="00FA7341" w:rsidRDefault="00F2403D" w:rsidP="007369E7">
      <w:pPr>
        <w:pStyle w:val="Descripcin"/>
        <w:spacing w:after="0"/>
        <w:jc w:val="center"/>
        <w:rPr>
          <w:rFonts w:ascii="Century Gothic" w:hAnsi="Century Gothic" w:cs="Arial"/>
          <w:color w:val="0A2F41"/>
          <w:sz w:val="22"/>
          <w:szCs w:val="22"/>
        </w:rPr>
      </w:pPr>
      <w:r w:rsidRPr="00FA7341">
        <w:rPr>
          <w:rFonts w:ascii="Century Gothic" w:hAnsi="Century Gothic" w:cs="Arial"/>
          <w:color w:val="0A2F41"/>
          <w:sz w:val="22"/>
          <w:szCs w:val="22"/>
        </w:rPr>
        <w:t xml:space="preserve">Tabla </w:t>
      </w:r>
      <w:r w:rsidRPr="00FA7341">
        <w:rPr>
          <w:rFonts w:ascii="Century Gothic" w:hAnsi="Century Gothic" w:cs="Arial"/>
          <w:color w:val="0A2F41"/>
          <w:sz w:val="22"/>
          <w:szCs w:val="22"/>
        </w:rPr>
        <w:fldChar w:fldCharType="begin"/>
      </w:r>
      <w:r w:rsidRPr="00FA7341">
        <w:rPr>
          <w:rFonts w:ascii="Century Gothic" w:hAnsi="Century Gothic" w:cs="Arial"/>
          <w:color w:val="0A2F41"/>
          <w:sz w:val="22"/>
          <w:szCs w:val="22"/>
        </w:rPr>
        <w:instrText xml:space="preserve"> SEQ Tabla \* ARABIC </w:instrText>
      </w:r>
      <w:r w:rsidRPr="00FA7341">
        <w:rPr>
          <w:rFonts w:ascii="Century Gothic" w:hAnsi="Century Gothic" w:cs="Arial"/>
          <w:color w:val="0A2F41"/>
          <w:sz w:val="22"/>
          <w:szCs w:val="22"/>
        </w:rPr>
        <w:fldChar w:fldCharType="separate"/>
      </w:r>
      <w:r w:rsidR="00030ED5" w:rsidRPr="00FA7341">
        <w:rPr>
          <w:rFonts w:ascii="Century Gothic" w:hAnsi="Century Gothic" w:cs="Arial"/>
          <w:noProof/>
          <w:color w:val="0A2F41"/>
          <w:sz w:val="22"/>
          <w:szCs w:val="22"/>
        </w:rPr>
        <w:t>2</w:t>
      </w:r>
      <w:r w:rsidRPr="00FA7341">
        <w:rPr>
          <w:rFonts w:ascii="Century Gothic" w:hAnsi="Century Gothic" w:cs="Arial"/>
          <w:color w:val="0A2F41"/>
          <w:sz w:val="22"/>
          <w:szCs w:val="22"/>
        </w:rPr>
        <w:fldChar w:fldCharType="end"/>
      </w:r>
      <w:r w:rsidRPr="00FA7341">
        <w:rPr>
          <w:rFonts w:ascii="Century Gothic" w:hAnsi="Century Gothic" w:cs="Arial"/>
          <w:color w:val="0A2F41"/>
          <w:sz w:val="22"/>
          <w:szCs w:val="22"/>
        </w:rPr>
        <w:t xml:space="preserve"> Valor agregado por actividad económica</w:t>
      </w:r>
      <w:bookmarkEnd w:id="8"/>
    </w:p>
    <w:bookmarkEnd w:id="9"/>
    <w:bookmarkEnd w:id="10"/>
    <w:p w14:paraId="11100AE2" w14:textId="7D7F2290" w:rsidR="005B0F68" w:rsidRPr="00FA7341" w:rsidRDefault="00BA3868" w:rsidP="007369E7">
      <w:pPr>
        <w:pStyle w:val="Descripcin"/>
        <w:spacing w:after="0"/>
        <w:jc w:val="center"/>
        <w:rPr>
          <w:rFonts w:ascii="Century Gothic" w:hAnsi="Century Gothic" w:cs="Arial"/>
          <w:sz w:val="22"/>
          <w:szCs w:val="22"/>
        </w:rPr>
      </w:pPr>
      <w:r w:rsidRPr="00FA7341">
        <w:rPr>
          <w:rFonts w:ascii="Century Gothic" w:hAnsi="Century Gothic" w:cs="Arial"/>
          <w:noProof/>
          <w:sz w:val="22"/>
          <w:szCs w:val="22"/>
        </w:rPr>
        <w:drawing>
          <wp:inline distT="0" distB="0" distL="0" distR="0" wp14:anchorId="08257170" wp14:editId="32E15F25">
            <wp:extent cx="4524375" cy="2419350"/>
            <wp:effectExtent l="0" t="0" r="9525" b="0"/>
            <wp:docPr id="12172055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05546" name=""/>
                    <pic:cNvPicPr/>
                  </pic:nvPicPr>
                  <pic:blipFill>
                    <a:blip r:embed="rId15">
                      <a:extLst>
                        <a:ext uri="{28A0092B-C50C-407E-A947-70E740481C1C}">
                          <a14:useLocalDpi xmlns:a14="http://schemas.microsoft.com/office/drawing/2010/main" val="0"/>
                        </a:ext>
                      </a:extLst>
                    </a:blip>
                    <a:stretch>
                      <a:fillRect/>
                    </a:stretch>
                  </pic:blipFill>
                  <pic:spPr>
                    <a:xfrm>
                      <a:off x="0" y="0"/>
                      <a:ext cx="4524375" cy="2419350"/>
                    </a:xfrm>
                    <a:prstGeom prst="rect">
                      <a:avLst/>
                    </a:prstGeom>
                  </pic:spPr>
                </pic:pic>
              </a:graphicData>
            </a:graphic>
          </wp:inline>
        </w:drawing>
      </w:r>
    </w:p>
    <w:p w14:paraId="2F7E2FC2" w14:textId="4E1E1379" w:rsidR="005B0F68" w:rsidRPr="00FA7341" w:rsidRDefault="005B0F68" w:rsidP="007369E7">
      <w:pPr>
        <w:spacing w:after="0"/>
        <w:jc w:val="both"/>
        <w:rPr>
          <w:rFonts w:ascii="Century Gothic" w:hAnsi="Century Gothic" w:cs="Arial"/>
        </w:rPr>
      </w:pPr>
    </w:p>
    <w:p w14:paraId="16FB040A" w14:textId="1F4FACCF" w:rsidR="005B0F68" w:rsidRPr="00FA7341" w:rsidRDefault="005B0F68" w:rsidP="007369E7">
      <w:pPr>
        <w:spacing w:after="0"/>
        <w:jc w:val="both"/>
        <w:rPr>
          <w:rFonts w:ascii="Century Gothic" w:hAnsi="Century Gothic" w:cs="Arial"/>
        </w:rPr>
      </w:pPr>
    </w:p>
    <w:p w14:paraId="36D6AFF3" w14:textId="77777777" w:rsidR="005B0F68" w:rsidRPr="00FA7341" w:rsidRDefault="005B0F68" w:rsidP="007369E7">
      <w:pPr>
        <w:spacing w:after="0"/>
        <w:jc w:val="both"/>
        <w:rPr>
          <w:rFonts w:ascii="Century Gothic" w:hAnsi="Century Gothic" w:cs="Arial"/>
        </w:rPr>
      </w:pPr>
    </w:p>
    <w:p w14:paraId="6528DF95" w14:textId="77777777" w:rsidR="00F2403D" w:rsidRPr="00FA7341" w:rsidRDefault="00F2403D" w:rsidP="007369E7">
      <w:pPr>
        <w:spacing w:after="0"/>
        <w:jc w:val="both"/>
        <w:rPr>
          <w:rFonts w:ascii="Century Gothic" w:hAnsi="Century Gothic" w:cs="Arial"/>
        </w:rPr>
      </w:pPr>
    </w:p>
    <w:p w14:paraId="6C163CF4" w14:textId="77777777" w:rsidR="005B0F68" w:rsidRPr="00FA7341" w:rsidRDefault="005B0F68" w:rsidP="007369E7">
      <w:pPr>
        <w:spacing w:after="0"/>
        <w:jc w:val="both"/>
        <w:rPr>
          <w:rFonts w:ascii="Century Gothic" w:hAnsi="Century Gothic" w:cs="Arial"/>
        </w:rPr>
      </w:pPr>
    </w:p>
    <w:p w14:paraId="30AA62FC" w14:textId="25A7F03E" w:rsidR="00D0506E" w:rsidRPr="00FA7341" w:rsidRDefault="005B0F68" w:rsidP="00D0506E">
      <w:pPr>
        <w:spacing w:after="0"/>
        <w:jc w:val="center"/>
        <w:rPr>
          <w:rFonts w:ascii="Century Gothic" w:hAnsi="Century Gothic" w:cs="Arial"/>
        </w:rPr>
      </w:pPr>
      <w:r w:rsidRPr="00FA7341">
        <w:rPr>
          <w:rFonts w:ascii="Century Gothic" w:hAnsi="Century Gothic" w:cs="Arial"/>
        </w:rPr>
        <w:lastRenderedPageBreak/>
        <w:t xml:space="preserve">Fuente: Cifras provenientes del Departamento Administrativo Nacional de Estadística (DANE) </w:t>
      </w:r>
    </w:p>
    <w:p w14:paraId="7B57D437" w14:textId="77777777" w:rsidR="00D0506E" w:rsidRPr="00FA7341" w:rsidRDefault="00D0506E" w:rsidP="00D0506E">
      <w:pPr>
        <w:spacing w:after="0"/>
        <w:jc w:val="center"/>
        <w:rPr>
          <w:rFonts w:ascii="Century Gothic" w:hAnsi="Century Gothic" w:cs="Arial"/>
        </w:rPr>
      </w:pPr>
    </w:p>
    <w:p w14:paraId="2EAACD73" w14:textId="582A4A9D"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 xml:space="preserve">Agricultura, ganadería, caza, silvicultura y pesca crece </w:t>
      </w:r>
      <w:r w:rsidR="00BA3868" w:rsidRPr="00FA7341">
        <w:rPr>
          <w:rFonts w:ascii="Century Gothic" w:hAnsi="Century Gothic" w:cs="Arial"/>
        </w:rPr>
        <w:t>3</w:t>
      </w:r>
      <w:r w:rsidRPr="00FA7341">
        <w:rPr>
          <w:rFonts w:ascii="Century Gothic" w:hAnsi="Century Gothic" w:cs="Arial"/>
        </w:rPr>
        <w:t>,</w:t>
      </w:r>
      <w:r w:rsidR="00BA3868" w:rsidRPr="00FA7341">
        <w:rPr>
          <w:rFonts w:ascii="Century Gothic" w:hAnsi="Century Gothic" w:cs="Arial"/>
        </w:rPr>
        <w:t>1</w:t>
      </w:r>
      <w:r w:rsidRPr="00FA7341">
        <w:rPr>
          <w:rFonts w:ascii="Century Gothic" w:hAnsi="Century Gothic" w:cs="Arial"/>
        </w:rPr>
        <w:t>% (contribuye 1,0 puntos porcentuales a la variación anual).</w:t>
      </w:r>
    </w:p>
    <w:p w14:paraId="6998700B" w14:textId="1BDC2DA1"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Administración pública y defensa; planes de seguridad social de afiliación obligatoria; Educación; Actividades de atención de la salud humana y de servicios sociales crece 4,</w:t>
      </w:r>
      <w:r w:rsidR="00BA3868" w:rsidRPr="00FA7341">
        <w:rPr>
          <w:rFonts w:ascii="Century Gothic" w:hAnsi="Century Gothic" w:cs="Arial"/>
        </w:rPr>
        <w:t>5</w:t>
      </w:r>
      <w:r w:rsidRPr="00FA7341">
        <w:rPr>
          <w:rFonts w:ascii="Century Gothic" w:hAnsi="Century Gothic" w:cs="Arial"/>
        </w:rPr>
        <w:t>% (contribuye 0,</w:t>
      </w:r>
      <w:r w:rsidR="00BA3868" w:rsidRPr="00FA7341">
        <w:rPr>
          <w:rFonts w:ascii="Century Gothic" w:hAnsi="Century Gothic" w:cs="Arial"/>
        </w:rPr>
        <w:t>5</w:t>
      </w:r>
      <w:r w:rsidRPr="00FA7341">
        <w:rPr>
          <w:rFonts w:ascii="Century Gothic" w:hAnsi="Century Gothic" w:cs="Arial"/>
        </w:rPr>
        <w:t xml:space="preserve"> puntos porcentuales a la variación anual).</w:t>
      </w:r>
    </w:p>
    <w:p w14:paraId="180F49D7" w14:textId="42B64A5F"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 xml:space="preserve">Actividades artísticas, de entretenimiento y recreación y otras actividades de servicios; Actividades de los hogares individuales en calidad de empleadores; actividades no diferenciadas de los hogares individuales como productores de bienes y servicios para uso propio crece </w:t>
      </w:r>
      <w:r w:rsidR="00BA3868" w:rsidRPr="00FA7341">
        <w:rPr>
          <w:rFonts w:ascii="Century Gothic" w:hAnsi="Century Gothic" w:cs="Arial"/>
        </w:rPr>
        <w:t>9</w:t>
      </w:r>
      <w:r w:rsidRPr="00FA7341">
        <w:rPr>
          <w:rFonts w:ascii="Century Gothic" w:hAnsi="Century Gothic" w:cs="Arial"/>
        </w:rPr>
        <w:t>,</w:t>
      </w:r>
      <w:r w:rsidR="00BA3868" w:rsidRPr="00FA7341">
        <w:rPr>
          <w:rFonts w:ascii="Century Gothic" w:hAnsi="Century Gothic" w:cs="Arial"/>
        </w:rPr>
        <w:t>9</w:t>
      </w:r>
      <w:r w:rsidRPr="00FA7341">
        <w:rPr>
          <w:rFonts w:ascii="Century Gothic" w:hAnsi="Century Gothic" w:cs="Arial"/>
        </w:rPr>
        <w:t xml:space="preserve">% (contribuye 0,4 puntos porcentuales a la variación anual). </w:t>
      </w:r>
      <w:r w:rsidR="00BA3868" w:rsidRPr="00FA7341">
        <w:rPr>
          <w:rFonts w:ascii="Century Gothic" w:hAnsi="Century Gothic" w:cs="Arial"/>
        </w:rPr>
        <w:t>respecto al año 2024pr</w:t>
      </w:r>
      <w:r w:rsidRPr="00FA7341">
        <w:rPr>
          <w:rFonts w:ascii="Century Gothic" w:hAnsi="Century Gothic" w:cs="Arial"/>
        </w:rPr>
        <w:t xml:space="preserve">, respecto al mismo periodo del año anterior, el Producto Interno Bruto presenta un crecimiento de 1,5%Las actividades económicas que más contribuyen a la dinámica del valor agregado son:  </w:t>
      </w:r>
    </w:p>
    <w:p w14:paraId="1D90698A" w14:textId="56345059"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 xml:space="preserve">Administración pública y defensa; planes de seguridad social de afiliación obligatoria; Educación; Actividades de atención de la salud humana y de servicios sociales crece 5,1% (contribuye 0,8 puntos porcentuales a la variación anual). </w:t>
      </w:r>
    </w:p>
    <w:p w14:paraId="482DA1F5" w14:textId="586600CA"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 xml:space="preserve">Agricultura, ganadería, caza, silvicultura y pesca crece 8,0% (contribuye 0,8 puntos porcentuales a la variación anual). </w:t>
      </w:r>
    </w:p>
    <w:p w14:paraId="19AB1124" w14:textId="16AEDC89"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9,5% (contribuye 0,4 puntos porcentuales a la variación anual).</w:t>
      </w:r>
    </w:p>
    <w:p w14:paraId="52BD6373" w14:textId="77777777"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 xml:space="preserve">Respecto al trimestre inmediatamente anterior, el Producto Interno Bruto en su serie ajustada por efecto estacional y calendario crece 0,1%. Cuando se observa el comportamiento de las actividades económicas relacionadas: </w:t>
      </w:r>
    </w:p>
    <w:p w14:paraId="469D16A8" w14:textId="7439442C"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3,5%.</w:t>
      </w:r>
    </w:p>
    <w:p w14:paraId="137B09BE" w14:textId="4F2DC815"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Administración pública y defensa; planes de seguridad social de afiliación obligatoria; Educación; Actividades de atención de la salud humana y de servicios sociales crece 1,7%.</w:t>
      </w:r>
    </w:p>
    <w:p w14:paraId="72318846" w14:textId="2F43D556" w:rsidR="005B0F68" w:rsidRPr="00FA7341" w:rsidRDefault="005B0F68" w:rsidP="009B016D">
      <w:pPr>
        <w:pStyle w:val="Prrafodelista"/>
        <w:numPr>
          <w:ilvl w:val="0"/>
          <w:numId w:val="16"/>
        </w:numPr>
        <w:spacing w:after="0"/>
        <w:jc w:val="both"/>
        <w:rPr>
          <w:rFonts w:ascii="Century Gothic" w:hAnsi="Century Gothic" w:cs="Arial"/>
        </w:rPr>
      </w:pPr>
      <w:r w:rsidRPr="00FA7341">
        <w:rPr>
          <w:rFonts w:ascii="Century Gothic" w:hAnsi="Century Gothic" w:cs="Arial"/>
        </w:rPr>
        <w:t>Agricultura, ganadería, caza, silvicultura y pesca crece 1,5%.</w:t>
      </w:r>
    </w:p>
    <w:p w14:paraId="60DE1E98" w14:textId="77777777" w:rsidR="00D0506E" w:rsidRPr="00FA7341" w:rsidRDefault="00D0506E" w:rsidP="007369E7">
      <w:pPr>
        <w:spacing w:after="0"/>
        <w:jc w:val="both"/>
        <w:rPr>
          <w:rFonts w:ascii="Century Gothic" w:hAnsi="Century Gothic" w:cs="Arial"/>
        </w:rPr>
      </w:pPr>
    </w:p>
    <w:p w14:paraId="7145E5DB" w14:textId="3730B55B" w:rsidR="005B0F68" w:rsidRPr="00FA7341" w:rsidRDefault="005B0F68" w:rsidP="007369E7">
      <w:pPr>
        <w:spacing w:after="0"/>
        <w:jc w:val="both"/>
        <w:rPr>
          <w:rFonts w:ascii="Century Gothic" w:hAnsi="Century Gothic" w:cs="Arial"/>
        </w:rPr>
      </w:pPr>
      <w:r w:rsidRPr="00FA7341">
        <w:rPr>
          <w:rFonts w:ascii="Century Gothic" w:hAnsi="Century Gothic" w:cs="Arial"/>
        </w:rPr>
        <w:t xml:space="preserve">En el </w:t>
      </w:r>
      <w:r w:rsidR="00453BC0" w:rsidRPr="00FA7341">
        <w:rPr>
          <w:rFonts w:ascii="Century Gothic" w:hAnsi="Century Gothic" w:cs="Arial"/>
        </w:rPr>
        <w:t>tercer</w:t>
      </w:r>
      <w:r w:rsidRPr="00FA7341">
        <w:rPr>
          <w:rFonts w:ascii="Century Gothic" w:hAnsi="Century Gothic" w:cs="Arial"/>
        </w:rPr>
        <w:t xml:space="preserve"> trimestre de 202</w:t>
      </w:r>
      <w:r w:rsidR="006170C9" w:rsidRPr="00FA7341">
        <w:rPr>
          <w:rFonts w:ascii="Century Gothic" w:hAnsi="Century Gothic" w:cs="Arial"/>
        </w:rPr>
        <w:t xml:space="preserve">5 </w:t>
      </w:r>
      <w:proofErr w:type="spellStart"/>
      <w:r w:rsidRPr="00FA7341">
        <w:rPr>
          <w:rFonts w:ascii="Century Gothic" w:hAnsi="Century Gothic" w:cs="Arial"/>
        </w:rPr>
        <w:t>pr</w:t>
      </w:r>
      <w:proofErr w:type="spellEnd"/>
      <w:r w:rsidRPr="00FA7341">
        <w:rPr>
          <w:rFonts w:ascii="Century Gothic" w:hAnsi="Century Gothic" w:cs="Arial"/>
        </w:rPr>
        <w:t>, el valor agregado de las actividades profesionales, científicas y técnicas; y actividades de servicios administrativos y de apoyo crece 0,</w:t>
      </w:r>
      <w:r w:rsidR="00453BC0" w:rsidRPr="00FA7341">
        <w:rPr>
          <w:rFonts w:ascii="Century Gothic" w:hAnsi="Century Gothic" w:cs="Arial"/>
        </w:rPr>
        <w:t>3</w:t>
      </w:r>
      <w:r w:rsidRPr="00FA7341">
        <w:rPr>
          <w:rFonts w:ascii="Century Gothic" w:hAnsi="Century Gothic" w:cs="Arial"/>
        </w:rPr>
        <w:t>% en su serie original, respecto al mismo periodo de 202</w:t>
      </w:r>
      <w:r w:rsidR="00963267" w:rsidRPr="00FA7341">
        <w:rPr>
          <w:rFonts w:ascii="Century Gothic" w:hAnsi="Century Gothic" w:cs="Arial"/>
        </w:rPr>
        <w:t>4</w:t>
      </w:r>
      <w:r w:rsidRPr="00FA7341">
        <w:rPr>
          <w:rFonts w:ascii="Century Gothic" w:hAnsi="Century Gothic" w:cs="Arial"/>
        </w:rPr>
        <w:t xml:space="preserve">pr. Esta dinámica se explica por los siguientes comportamientos (ver </w:t>
      </w:r>
      <w:r w:rsidRPr="00FA7341">
        <w:rPr>
          <w:rFonts w:ascii="Century Gothic" w:hAnsi="Century Gothic" w:cs="Arial"/>
        </w:rPr>
        <w:fldChar w:fldCharType="begin"/>
      </w:r>
      <w:r w:rsidRPr="00FA7341">
        <w:rPr>
          <w:rFonts w:ascii="Century Gothic" w:hAnsi="Century Gothic" w:cs="Arial"/>
        </w:rPr>
        <w:instrText xml:space="preserve"> REF _Ref176507592 \h  \* MERGEFORMAT </w:instrText>
      </w:r>
      <w:r w:rsidRPr="00FA7341">
        <w:rPr>
          <w:rFonts w:ascii="Century Gothic" w:hAnsi="Century Gothic" w:cs="Arial"/>
        </w:rPr>
      </w:r>
      <w:r w:rsidRPr="00FA7341">
        <w:rPr>
          <w:rFonts w:ascii="Century Gothic" w:hAnsi="Century Gothic" w:cs="Arial"/>
        </w:rPr>
        <w:fldChar w:fldCharType="separate"/>
      </w:r>
      <w:r w:rsidR="00030ED5" w:rsidRPr="00FA7341">
        <w:rPr>
          <w:rFonts w:ascii="Century Gothic" w:hAnsi="Century Gothic" w:cs="Arial"/>
          <w:color w:val="0A2F41"/>
        </w:rPr>
        <w:t xml:space="preserve">Ilustración </w:t>
      </w:r>
      <w:r w:rsidR="00030ED5" w:rsidRPr="00FA7341">
        <w:rPr>
          <w:rFonts w:ascii="Century Gothic" w:hAnsi="Century Gothic" w:cs="Arial"/>
          <w:noProof/>
          <w:color w:val="0A2F41"/>
        </w:rPr>
        <w:t>1</w:t>
      </w:r>
      <w:r w:rsidRPr="00FA7341">
        <w:rPr>
          <w:rFonts w:ascii="Century Gothic" w:hAnsi="Century Gothic" w:cs="Arial"/>
        </w:rPr>
        <w:fldChar w:fldCharType="end"/>
      </w:r>
      <w:r w:rsidRPr="00FA7341">
        <w:rPr>
          <w:rFonts w:ascii="Century Gothic" w:hAnsi="Century Gothic" w:cs="Arial"/>
        </w:rPr>
        <w:t>):</w:t>
      </w:r>
    </w:p>
    <w:p w14:paraId="2DCE17FC" w14:textId="77777777" w:rsidR="00D0506E" w:rsidRPr="00FA7341" w:rsidRDefault="00D0506E" w:rsidP="007369E7">
      <w:pPr>
        <w:spacing w:after="0"/>
        <w:jc w:val="both"/>
        <w:rPr>
          <w:rFonts w:ascii="Century Gothic" w:hAnsi="Century Gothic" w:cs="Arial"/>
        </w:rPr>
      </w:pPr>
    </w:p>
    <w:p w14:paraId="218FE923" w14:textId="170E8047" w:rsidR="005B0F68" w:rsidRPr="00FA7341" w:rsidRDefault="005B0F68" w:rsidP="007369E7">
      <w:pPr>
        <w:pStyle w:val="Descripcin"/>
        <w:spacing w:after="0"/>
        <w:jc w:val="center"/>
        <w:rPr>
          <w:rFonts w:ascii="Century Gothic" w:hAnsi="Century Gothic" w:cs="Arial"/>
          <w:color w:val="0A2F41"/>
          <w:sz w:val="22"/>
          <w:szCs w:val="22"/>
        </w:rPr>
      </w:pPr>
      <w:bookmarkStart w:id="11" w:name="_Ref176507592"/>
      <w:bookmarkStart w:id="12" w:name="_Toc226395615"/>
      <w:r w:rsidRPr="00FA7341">
        <w:rPr>
          <w:rFonts w:ascii="Century Gothic" w:hAnsi="Century Gothic" w:cs="Arial"/>
          <w:color w:val="0A2F41"/>
          <w:sz w:val="22"/>
          <w:szCs w:val="22"/>
        </w:rPr>
        <w:t xml:space="preserve">Ilustración </w:t>
      </w:r>
      <w:r w:rsidRPr="00FA7341">
        <w:rPr>
          <w:rFonts w:ascii="Century Gothic" w:hAnsi="Century Gothic" w:cs="Arial"/>
          <w:color w:val="0A2F41"/>
          <w:sz w:val="22"/>
          <w:szCs w:val="22"/>
        </w:rPr>
        <w:fldChar w:fldCharType="begin"/>
      </w:r>
      <w:r w:rsidRPr="00FA7341">
        <w:rPr>
          <w:rFonts w:ascii="Century Gothic" w:hAnsi="Century Gothic" w:cs="Arial"/>
          <w:color w:val="0A2F41"/>
          <w:sz w:val="22"/>
          <w:szCs w:val="22"/>
        </w:rPr>
        <w:instrText xml:space="preserve"> SEQ Ilustración \* ARABIC </w:instrText>
      </w:r>
      <w:r w:rsidRPr="00FA7341">
        <w:rPr>
          <w:rFonts w:ascii="Century Gothic" w:hAnsi="Century Gothic" w:cs="Arial"/>
          <w:color w:val="0A2F41"/>
          <w:sz w:val="22"/>
          <w:szCs w:val="22"/>
        </w:rPr>
        <w:fldChar w:fldCharType="separate"/>
      </w:r>
      <w:r w:rsidR="00030ED5" w:rsidRPr="00FA7341">
        <w:rPr>
          <w:rFonts w:ascii="Century Gothic" w:hAnsi="Century Gothic" w:cs="Arial"/>
          <w:noProof/>
          <w:color w:val="0A2F41"/>
          <w:sz w:val="22"/>
          <w:szCs w:val="22"/>
        </w:rPr>
        <w:t>1</w:t>
      </w:r>
      <w:r w:rsidRPr="00FA7341">
        <w:rPr>
          <w:rFonts w:ascii="Century Gothic" w:hAnsi="Century Gothic" w:cs="Arial"/>
          <w:color w:val="0A2F41"/>
          <w:sz w:val="22"/>
          <w:szCs w:val="22"/>
        </w:rPr>
        <w:fldChar w:fldCharType="end"/>
      </w:r>
      <w:bookmarkEnd w:id="11"/>
      <w:r w:rsidRPr="00FA7341">
        <w:rPr>
          <w:rFonts w:ascii="Century Gothic" w:hAnsi="Century Gothic" w:cs="Arial"/>
          <w:color w:val="0A2F41"/>
          <w:sz w:val="22"/>
          <w:szCs w:val="22"/>
        </w:rPr>
        <w:t xml:space="preserve"> Actividades profesionales, científicas y técnicas</w:t>
      </w:r>
      <w:bookmarkEnd w:id="12"/>
    </w:p>
    <w:p w14:paraId="28EFB0D1" w14:textId="0276279D" w:rsidR="005B0F68" w:rsidRPr="00FA7341" w:rsidRDefault="00453BC0" w:rsidP="00D0506E">
      <w:pPr>
        <w:spacing w:after="0"/>
        <w:jc w:val="center"/>
        <w:rPr>
          <w:rFonts w:ascii="Century Gothic" w:hAnsi="Century Gothic" w:cs="Arial"/>
        </w:rPr>
      </w:pPr>
      <w:r w:rsidRPr="00FA7341">
        <w:rPr>
          <w:rFonts w:ascii="Century Gothic" w:hAnsi="Century Gothic" w:cs="Arial"/>
          <w:noProof/>
          <w:lang w:eastAsia="es-CO"/>
        </w:rPr>
        <w:drawing>
          <wp:inline distT="0" distB="0" distL="0" distR="0" wp14:anchorId="4B74223A" wp14:editId="187B5416">
            <wp:extent cx="5326380" cy="1891030"/>
            <wp:effectExtent l="0" t="0" r="7620" b="0"/>
            <wp:docPr id="1034114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11425" name=""/>
                    <pic:cNvPicPr/>
                  </pic:nvPicPr>
                  <pic:blipFill>
                    <a:blip r:embed="rId16"/>
                    <a:stretch>
                      <a:fillRect/>
                    </a:stretch>
                  </pic:blipFill>
                  <pic:spPr>
                    <a:xfrm>
                      <a:off x="0" y="0"/>
                      <a:ext cx="5326380" cy="1891030"/>
                    </a:xfrm>
                    <a:prstGeom prst="rect">
                      <a:avLst/>
                    </a:prstGeom>
                  </pic:spPr>
                </pic:pic>
              </a:graphicData>
            </a:graphic>
          </wp:inline>
        </w:drawing>
      </w:r>
      <w:r w:rsidRPr="00FA7341">
        <w:rPr>
          <w:rFonts w:ascii="Century Gothic" w:hAnsi="Century Gothic" w:cs="Arial"/>
          <w:noProof/>
          <w:lang w:eastAsia="es-CO"/>
        </w:rPr>
        <w:t xml:space="preserve"> </w:t>
      </w:r>
    </w:p>
    <w:p w14:paraId="2874B160" w14:textId="77777777" w:rsidR="00D0506E" w:rsidRPr="00FA7341" w:rsidRDefault="00D0506E" w:rsidP="00D0506E">
      <w:pPr>
        <w:spacing w:after="0"/>
        <w:jc w:val="center"/>
        <w:rPr>
          <w:rFonts w:ascii="Century Gothic" w:hAnsi="Century Gothic" w:cs="Arial"/>
        </w:rPr>
      </w:pPr>
    </w:p>
    <w:p w14:paraId="0E5F183F" w14:textId="77777777" w:rsidR="005B0F68" w:rsidRPr="00FA7341" w:rsidRDefault="005B0F68" w:rsidP="007369E7">
      <w:pPr>
        <w:spacing w:after="0"/>
        <w:jc w:val="center"/>
        <w:rPr>
          <w:rFonts w:ascii="Century Gothic" w:hAnsi="Century Gothic" w:cs="Arial"/>
        </w:rPr>
      </w:pPr>
      <w:r w:rsidRPr="00FA7341">
        <w:rPr>
          <w:rFonts w:ascii="Century Gothic" w:hAnsi="Century Gothic" w:cs="Arial"/>
        </w:rPr>
        <w:t xml:space="preserve">Fuente: Cifras provenientes del Departamento Administrativo Nacional de Estadística (DANE) </w:t>
      </w:r>
    </w:p>
    <w:p w14:paraId="44029D62" w14:textId="77777777" w:rsidR="00D0506E" w:rsidRPr="00FA7341" w:rsidRDefault="00D0506E" w:rsidP="007369E7">
      <w:pPr>
        <w:spacing w:after="0"/>
        <w:jc w:val="center"/>
        <w:rPr>
          <w:rFonts w:ascii="Century Gothic" w:hAnsi="Century Gothic" w:cs="Arial"/>
        </w:rPr>
      </w:pPr>
    </w:p>
    <w:p w14:paraId="63432CE5" w14:textId="3303423C" w:rsidR="005B0F68" w:rsidRPr="00FA7341" w:rsidRDefault="005B0F68" w:rsidP="009B016D">
      <w:pPr>
        <w:pStyle w:val="Prrafodelista"/>
        <w:numPr>
          <w:ilvl w:val="0"/>
          <w:numId w:val="15"/>
        </w:numPr>
        <w:spacing w:after="0"/>
        <w:jc w:val="both"/>
        <w:rPr>
          <w:rFonts w:ascii="Century Gothic" w:hAnsi="Century Gothic" w:cs="Arial"/>
        </w:rPr>
      </w:pPr>
      <w:r w:rsidRPr="00FA7341">
        <w:rPr>
          <w:rFonts w:ascii="Century Gothic" w:hAnsi="Century Gothic" w:cs="Arial"/>
        </w:rPr>
        <w:t xml:space="preserve">Actividades profesionales, científicas y técnicas crece </w:t>
      </w:r>
      <w:r w:rsidR="00171C41" w:rsidRPr="00FA7341">
        <w:rPr>
          <w:rFonts w:ascii="Century Gothic" w:hAnsi="Century Gothic" w:cs="Arial"/>
        </w:rPr>
        <w:t>0,9</w:t>
      </w:r>
      <w:r w:rsidRPr="00FA7341">
        <w:rPr>
          <w:rFonts w:ascii="Century Gothic" w:hAnsi="Century Gothic" w:cs="Arial"/>
        </w:rPr>
        <w:t xml:space="preserve">%. </w:t>
      </w:r>
    </w:p>
    <w:p w14:paraId="231E4B5F" w14:textId="618F5FAC" w:rsidR="005B0F68" w:rsidRPr="00FA7341" w:rsidRDefault="005B0F68" w:rsidP="009B016D">
      <w:pPr>
        <w:pStyle w:val="Prrafodelista"/>
        <w:numPr>
          <w:ilvl w:val="0"/>
          <w:numId w:val="15"/>
        </w:numPr>
        <w:spacing w:after="0"/>
        <w:jc w:val="both"/>
        <w:rPr>
          <w:rFonts w:ascii="Century Gothic" w:hAnsi="Century Gothic" w:cs="Arial"/>
        </w:rPr>
      </w:pPr>
      <w:r w:rsidRPr="00FA7341">
        <w:rPr>
          <w:rFonts w:ascii="Century Gothic" w:hAnsi="Century Gothic" w:cs="Arial"/>
        </w:rPr>
        <w:t>Actividades de servicios administrativos y de apoyo decrece 1,</w:t>
      </w:r>
      <w:r w:rsidR="00171C41" w:rsidRPr="00FA7341">
        <w:rPr>
          <w:rFonts w:ascii="Century Gothic" w:hAnsi="Century Gothic" w:cs="Arial"/>
        </w:rPr>
        <w:t>6</w:t>
      </w:r>
      <w:r w:rsidRPr="00FA7341">
        <w:rPr>
          <w:rFonts w:ascii="Century Gothic" w:hAnsi="Century Gothic" w:cs="Arial"/>
        </w:rPr>
        <w:t>%. Respecto al trimestre inmediatamente anterior en su serie ajustada por efecto estacional y calendario, el valor agregado de las actividades profesionales, científicas y técnicas; y actividades de servicios administrativos y de apoyo crece en 0,4%, cuando se observa el comportamiento de las actividades económicas relacionadas:</w:t>
      </w:r>
    </w:p>
    <w:p w14:paraId="5C3E50DB" w14:textId="499D0DB8" w:rsidR="005B0F68" w:rsidRPr="00FA7341" w:rsidRDefault="005B0F68" w:rsidP="009B016D">
      <w:pPr>
        <w:pStyle w:val="Prrafodelista"/>
        <w:numPr>
          <w:ilvl w:val="0"/>
          <w:numId w:val="15"/>
        </w:numPr>
        <w:spacing w:after="0"/>
        <w:jc w:val="both"/>
        <w:rPr>
          <w:rFonts w:ascii="Century Gothic" w:hAnsi="Century Gothic" w:cs="Arial"/>
        </w:rPr>
      </w:pPr>
      <w:r w:rsidRPr="00FA7341">
        <w:rPr>
          <w:rFonts w:ascii="Century Gothic" w:hAnsi="Century Gothic" w:cs="Arial"/>
        </w:rPr>
        <w:t>Actividades profesionales, científicas y técnicas crece 0,7%.</w:t>
      </w:r>
    </w:p>
    <w:p w14:paraId="5DB0B720" w14:textId="0A05BCC4" w:rsidR="00DA4087" w:rsidRPr="00FA7341" w:rsidRDefault="005B0F68" w:rsidP="009B016D">
      <w:pPr>
        <w:pStyle w:val="Prrafodelista"/>
        <w:numPr>
          <w:ilvl w:val="0"/>
          <w:numId w:val="15"/>
        </w:numPr>
        <w:spacing w:after="0"/>
        <w:jc w:val="both"/>
        <w:rPr>
          <w:rFonts w:ascii="Century Gothic" w:hAnsi="Century Gothic" w:cs="Arial"/>
        </w:rPr>
      </w:pPr>
      <w:r w:rsidRPr="00FA7341">
        <w:rPr>
          <w:rFonts w:ascii="Century Gothic" w:hAnsi="Century Gothic" w:cs="Arial"/>
        </w:rPr>
        <w:t xml:space="preserve">Actividades de servicios administrativos y de apoyo crece </w:t>
      </w:r>
      <w:r w:rsidR="00171C41" w:rsidRPr="00FA7341">
        <w:rPr>
          <w:rFonts w:ascii="Century Gothic" w:hAnsi="Century Gothic" w:cs="Arial"/>
        </w:rPr>
        <w:t>1</w:t>
      </w:r>
      <w:r w:rsidRPr="00FA7341">
        <w:rPr>
          <w:rFonts w:ascii="Century Gothic" w:hAnsi="Century Gothic" w:cs="Arial"/>
        </w:rPr>
        <w:t>,</w:t>
      </w:r>
      <w:r w:rsidR="00453BC0" w:rsidRPr="00FA7341">
        <w:rPr>
          <w:rFonts w:ascii="Century Gothic" w:hAnsi="Century Gothic" w:cs="Arial"/>
        </w:rPr>
        <w:t>4</w:t>
      </w:r>
      <w:r w:rsidRPr="00FA7341">
        <w:rPr>
          <w:rFonts w:ascii="Century Gothic" w:hAnsi="Century Gothic" w:cs="Arial"/>
        </w:rPr>
        <w:t>%.</w:t>
      </w:r>
    </w:p>
    <w:p w14:paraId="6E6085F8" w14:textId="77777777" w:rsidR="0009162A" w:rsidRPr="00FA7341" w:rsidRDefault="0009162A" w:rsidP="0009162A">
      <w:pPr>
        <w:pStyle w:val="Prrafodelista"/>
        <w:spacing w:after="0"/>
        <w:jc w:val="both"/>
        <w:rPr>
          <w:rFonts w:ascii="Century Gothic" w:hAnsi="Century Gothic" w:cs="Arial"/>
        </w:rPr>
      </w:pPr>
    </w:p>
    <w:p w14:paraId="5F6E3119" w14:textId="77777777" w:rsidR="005D79F7" w:rsidRPr="00FA7341" w:rsidRDefault="005D79F7" w:rsidP="007369E7">
      <w:pPr>
        <w:pStyle w:val="Ttulo3"/>
        <w:widowControl w:val="0"/>
        <w:numPr>
          <w:ilvl w:val="2"/>
          <w:numId w:val="1"/>
        </w:numPr>
        <w:shd w:val="clear" w:color="auto" w:fill="002060"/>
        <w:autoSpaceDE w:val="0"/>
        <w:autoSpaceDN w:val="0"/>
        <w:spacing w:before="0" w:line="240" w:lineRule="auto"/>
        <w:rPr>
          <w:rFonts w:ascii="Century Gothic" w:hAnsi="Century Gothic" w:cs="Arial"/>
          <w:color w:val="FFFFFF"/>
        </w:rPr>
      </w:pPr>
      <w:bookmarkStart w:id="13" w:name="_Toc232673892"/>
      <w:r w:rsidRPr="00FA7341">
        <w:rPr>
          <w:rFonts w:ascii="Century Gothic" w:hAnsi="Century Gothic" w:cs="Arial"/>
          <w:color w:val="FFFFFF"/>
        </w:rPr>
        <w:t>COMPORTAMIENTO DEL DÓLAR (TRM):</w:t>
      </w:r>
      <w:bookmarkEnd w:id="13"/>
    </w:p>
    <w:p w14:paraId="12CDAD93" w14:textId="77777777" w:rsidR="008D522D" w:rsidRDefault="008D522D" w:rsidP="007369E7">
      <w:pPr>
        <w:spacing w:after="0"/>
        <w:jc w:val="both"/>
        <w:rPr>
          <w:rFonts w:ascii="Century Gothic" w:hAnsi="Century Gothic" w:cs="Arial"/>
        </w:rPr>
      </w:pPr>
    </w:p>
    <w:p w14:paraId="3E1CB909" w14:textId="02D07964" w:rsidR="005B0F68" w:rsidRPr="00FA7341" w:rsidRDefault="00BA3868" w:rsidP="007369E7">
      <w:pPr>
        <w:spacing w:after="0"/>
        <w:jc w:val="both"/>
        <w:rPr>
          <w:rFonts w:ascii="Century Gothic" w:hAnsi="Century Gothic" w:cs="Arial"/>
        </w:rPr>
      </w:pPr>
      <w:r w:rsidRPr="00FA7341">
        <w:rPr>
          <w:rFonts w:ascii="Century Gothic" w:hAnsi="Century Gothic" w:cs="Arial"/>
        </w:rPr>
        <w:t xml:space="preserve">En el 2026 (corte a </w:t>
      </w:r>
      <w:r w:rsidR="00041903" w:rsidRPr="00FA7341">
        <w:rPr>
          <w:rFonts w:ascii="Century Gothic" w:hAnsi="Century Gothic" w:cs="Arial"/>
        </w:rPr>
        <w:t>30</w:t>
      </w:r>
      <w:r w:rsidRPr="00FA7341">
        <w:rPr>
          <w:rFonts w:ascii="Century Gothic" w:hAnsi="Century Gothic" w:cs="Arial"/>
        </w:rPr>
        <w:t xml:space="preserve"> de</w:t>
      </w:r>
      <w:r w:rsidR="00041903" w:rsidRPr="00FA7341">
        <w:rPr>
          <w:rFonts w:ascii="Century Gothic" w:hAnsi="Century Gothic" w:cs="Arial"/>
        </w:rPr>
        <w:t xml:space="preserve"> mayo)</w:t>
      </w:r>
      <w:r w:rsidRPr="00FA7341">
        <w:rPr>
          <w:rFonts w:ascii="Century Gothic" w:hAnsi="Century Gothic" w:cs="Arial"/>
        </w:rPr>
        <w:t xml:space="preserve"> la TRM ha presentado un máximo de $ 3,7</w:t>
      </w:r>
      <w:r w:rsidR="00041903" w:rsidRPr="00FA7341">
        <w:rPr>
          <w:rFonts w:ascii="Century Gothic" w:hAnsi="Century Gothic" w:cs="Arial"/>
        </w:rPr>
        <w:t>96</w:t>
      </w:r>
      <w:r w:rsidRPr="00FA7341">
        <w:rPr>
          <w:rFonts w:ascii="Century Gothic" w:hAnsi="Century Gothic" w:cs="Arial"/>
        </w:rPr>
        <w:t>,</w:t>
      </w:r>
      <w:r w:rsidR="00041903" w:rsidRPr="00FA7341">
        <w:rPr>
          <w:rFonts w:ascii="Century Gothic" w:hAnsi="Century Gothic" w:cs="Arial"/>
        </w:rPr>
        <w:t>87</w:t>
      </w:r>
      <w:r w:rsidRPr="00FA7341">
        <w:rPr>
          <w:rFonts w:ascii="Century Gothic" w:hAnsi="Century Gothic" w:cs="Arial"/>
        </w:rPr>
        <w:t xml:space="preserve"> un mínimo de $3.</w:t>
      </w:r>
      <w:r w:rsidR="00041903" w:rsidRPr="00FA7341">
        <w:rPr>
          <w:rFonts w:ascii="Century Gothic" w:hAnsi="Century Gothic" w:cs="Arial"/>
        </w:rPr>
        <w:t>560</w:t>
      </w:r>
      <w:r w:rsidRPr="00FA7341">
        <w:rPr>
          <w:rFonts w:ascii="Century Gothic" w:hAnsi="Century Gothic" w:cs="Arial"/>
        </w:rPr>
        <w:t>,</w:t>
      </w:r>
      <w:r w:rsidR="00041903" w:rsidRPr="00FA7341">
        <w:rPr>
          <w:rFonts w:ascii="Century Gothic" w:hAnsi="Century Gothic" w:cs="Arial"/>
        </w:rPr>
        <w:t>24</w:t>
      </w:r>
      <w:r w:rsidRPr="00FA7341">
        <w:rPr>
          <w:rFonts w:ascii="Century Gothic" w:hAnsi="Century Gothic" w:cs="Arial"/>
        </w:rPr>
        <w:t xml:space="preserve"> con una variación de $ </w:t>
      </w:r>
      <w:r w:rsidR="000B3561" w:rsidRPr="00FA7341">
        <w:rPr>
          <w:rFonts w:ascii="Century Gothic" w:hAnsi="Century Gothic" w:cs="Arial"/>
        </w:rPr>
        <w:t xml:space="preserve">236,63 </w:t>
      </w:r>
      <w:r w:rsidRPr="00FA7341">
        <w:rPr>
          <w:rFonts w:ascii="Century Gothic" w:hAnsi="Century Gothic" w:cs="Arial"/>
        </w:rPr>
        <w:t>(</w:t>
      </w:r>
      <w:r w:rsidR="00041903" w:rsidRPr="00FA7341">
        <w:rPr>
          <w:rFonts w:ascii="Century Gothic" w:hAnsi="Century Gothic" w:cs="Arial"/>
        </w:rPr>
        <w:t>6</w:t>
      </w:r>
      <w:r w:rsidRPr="00FA7341">
        <w:rPr>
          <w:rFonts w:ascii="Century Gothic" w:hAnsi="Century Gothic" w:cs="Arial"/>
        </w:rPr>
        <w:t>.</w:t>
      </w:r>
      <w:r w:rsidR="00041903" w:rsidRPr="00FA7341">
        <w:rPr>
          <w:rFonts w:ascii="Century Gothic" w:hAnsi="Century Gothic" w:cs="Arial"/>
        </w:rPr>
        <w:t>65</w:t>
      </w:r>
      <w:r w:rsidRPr="00FA7341">
        <w:rPr>
          <w:rFonts w:ascii="Century Gothic" w:hAnsi="Century Gothic" w:cs="Arial"/>
        </w:rPr>
        <w:t>%) y una tasa promedio de $3.685,38</w:t>
      </w:r>
      <w:r w:rsidR="005B0F68" w:rsidRPr="00FA7341">
        <w:rPr>
          <w:rFonts w:ascii="Century Gothic" w:hAnsi="Century Gothic" w:cs="Arial"/>
        </w:rPr>
        <w:t>.</w:t>
      </w:r>
    </w:p>
    <w:p w14:paraId="49695B90" w14:textId="77777777" w:rsidR="0009162A" w:rsidRPr="00FA7341" w:rsidRDefault="0009162A" w:rsidP="007369E7">
      <w:pPr>
        <w:spacing w:after="0"/>
        <w:jc w:val="both"/>
        <w:rPr>
          <w:rFonts w:ascii="Century Gothic" w:hAnsi="Century Gothic" w:cs="Arial"/>
        </w:rPr>
      </w:pPr>
    </w:p>
    <w:p w14:paraId="339CF192" w14:textId="77777777" w:rsidR="000B3561" w:rsidRPr="00FA7341" w:rsidRDefault="000B3561" w:rsidP="007369E7">
      <w:pPr>
        <w:spacing w:after="0"/>
        <w:jc w:val="both"/>
        <w:rPr>
          <w:rFonts w:ascii="Century Gothic" w:hAnsi="Century Gothic" w:cs="Arial"/>
        </w:rPr>
      </w:pPr>
    </w:p>
    <w:p w14:paraId="529C8841" w14:textId="77777777" w:rsidR="000B3561" w:rsidRPr="00FA7341" w:rsidRDefault="000B3561" w:rsidP="007369E7">
      <w:pPr>
        <w:spacing w:after="0"/>
        <w:jc w:val="both"/>
        <w:rPr>
          <w:rFonts w:ascii="Century Gothic" w:hAnsi="Century Gothic" w:cs="Arial"/>
        </w:rPr>
      </w:pPr>
    </w:p>
    <w:p w14:paraId="316ADE0E" w14:textId="77777777" w:rsidR="000B3561" w:rsidRPr="00FA7341" w:rsidRDefault="000B3561" w:rsidP="007369E7">
      <w:pPr>
        <w:spacing w:after="0"/>
        <w:jc w:val="both"/>
        <w:rPr>
          <w:rFonts w:ascii="Century Gothic" w:hAnsi="Century Gothic" w:cs="Arial"/>
        </w:rPr>
      </w:pPr>
    </w:p>
    <w:p w14:paraId="7C5E4D82" w14:textId="77777777" w:rsidR="000B3561" w:rsidRPr="00FA7341" w:rsidRDefault="000B3561" w:rsidP="007369E7">
      <w:pPr>
        <w:spacing w:after="0"/>
        <w:jc w:val="both"/>
        <w:rPr>
          <w:rFonts w:ascii="Century Gothic" w:hAnsi="Century Gothic" w:cs="Arial"/>
        </w:rPr>
      </w:pPr>
    </w:p>
    <w:p w14:paraId="7EC200B5" w14:textId="77777777" w:rsidR="000B3561" w:rsidRPr="00FA7341" w:rsidRDefault="000B3561" w:rsidP="007369E7">
      <w:pPr>
        <w:spacing w:after="0"/>
        <w:jc w:val="both"/>
        <w:rPr>
          <w:rFonts w:ascii="Century Gothic" w:hAnsi="Century Gothic" w:cs="Arial"/>
        </w:rPr>
      </w:pPr>
    </w:p>
    <w:p w14:paraId="2B918445" w14:textId="77777777" w:rsidR="000B3561" w:rsidRPr="00FA7341" w:rsidRDefault="000B3561" w:rsidP="007369E7">
      <w:pPr>
        <w:spacing w:after="0"/>
        <w:jc w:val="both"/>
        <w:rPr>
          <w:rFonts w:ascii="Century Gothic" w:hAnsi="Century Gothic" w:cs="Arial"/>
        </w:rPr>
      </w:pPr>
    </w:p>
    <w:p w14:paraId="6B4E4C77" w14:textId="77777777" w:rsidR="000B3561" w:rsidRPr="00FA7341" w:rsidRDefault="000B3561" w:rsidP="007369E7">
      <w:pPr>
        <w:spacing w:after="0"/>
        <w:jc w:val="both"/>
        <w:rPr>
          <w:rFonts w:ascii="Century Gothic" w:hAnsi="Century Gothic" w:cs="Arial"/>
        </w:rPr>
      </w:pPr>
    </w:p>
    <w:p w14:paraId="46A7D925" w14:textId="77777777" w:rsidR="000B3561" w:rsidRPr="00FA7341" w:rsidRDefault="000B3561" w:rsidP="007369E7">
      <w:pPr>
        <w:spacing w:after="0"/>
        <w:jc w:val="both"/>
        <w:rPr>
          <w:rFonts w:ascii="Century Gothic" w:hAnsi="Century Gothic" w:cs="Arial"/>
        </w:rPr>
      </w:pPr>
    </w:p>
    <w:p w14:paraId="6EF362F0" w14:textId="7D380EC3" w:rsidR="00C67A3C" w:rsidRPr="00FA7341" w:rsidRDefault="00C67A3C" w:rsidP="007369E7">
      <w:pPr>
        <w:pStyle w:val="Descripcin"/>
        <w:spacing w:after="0"/>
        <w:jc w:val="center"/>
        <w:rPr>
          <w:rFonts w:ascii="Century Gothic" w:hAnsi="Century Gothic" w:cs="Arial"/>
          <w:color w:val="0A2F41"/>
          <w:sz w:val="22"/>
          <w:szCs w:val="22"/>
        </w:rPr>
      </w:pPr>
      <w:r w:rsidRPr="00FA7341">
        <w:rPr>
          <w:rFonts w:ascii="Century Gothic" w:hAnsi="Century Gothic" w:cs="Arial"/>
          <w:color w:val="0A2F41"/>
          <w:sz w:val="22"/>
          <w:szCs w:val="22"/>
        </w:rPr>
        <w:t xml:space="preserve">Gráfico </w:t>
      </w:r>
      <w:r w:rsidR="00B05AE2" w:rsidRPr="00FA7341">
        <w:rPr>
          <w:rFonts w:ascii="Century Gothic" w:hAnsi="Century Gothic" w:cs="Arial"/>
          <w:color w:val="0A2F41"/>
          <w:sz w:val="22"/>
          <w:szCs w:val="22"/>
        </w:rPr>
        <w:t>1</w:t>
      </w:r>
      <w:r w:rsidRPr="00FA7341">
        <w:rPr>
          <w:rFonts w:ascii="Century Gothic" w:hAnsi="Century Gothic" w:cs="Arial"/>
          <w:sz w:val="22"/>
          <w:szCs w:val="22"/>
        </w:rPr>
        <w:t xml:space="preserve"> C</w:t>
      </w:r>
      <w:r w:rsidRPr="00FA7341">
        <w:rPr>
          <w:rFonts w:ascii="Century Gothic" w:hAnsi="Century Gothic" w:cs="Arial"/>
          <w:color w:val="0A2F41"/>
          <w:sz w:val="22"/>
          <w:szCs w:val="22"/>
        </w:rPr>
        <w:t>omportamiento del dólar</w:t>
      </w:r>
    </w:p>
    <w:p w14:paraId="76FC56C0" w14:textId="77777777" w:rsidR="000B3561" w:rsidRPr="00FA7341" w:rsidRDefault="000B3561" w:rsidP="000B3561">
      <w:pPr>
        <w:rPr>
          <w:rFonts w:ascii="Century Gothic" w:hAnsi="Century Gothic"/>
        </w:rPr>
      </w:pPr>
    </w:p>
    <w:p w14:paraId="0A2774C5" w14:textId="6E13ECDD" w:rsidR="00C67A3C" w:rsidRPr="00FA7341" w:rsidRDefault="000B3561" w:rsidP="00B05AE2">
      <w:pPr>
        <w:spacing w:after="0"/>
        <w:jc w:val="center"/>
        <w:rPr>
          <w:rFonts w:ascii="Century Gothic" w:hAnsi="Century Gothic" w:cs="Arial"/>
        </w:rPr>
      </w:pPr>
      <w:r w:rsidRPr="00FA7341">
        <w:rPr>
          <w:rFonts w:ascii="Century Gothic" w:hAnsi="Century Gothic" w:cs="Arial"/>
          <w:noProof/>
        </w:rPr>
        <w:drawing>
          <wp:inline distT="0" distB="0" distL="0" distR="0" wp14:anchorId="0D72C908" wp14:editId="0F48D045">
            <wp:extent cx="5612130" cy="3263900"/>
            <wp:effectExtent l="0" t="0" r="7620" b="0"/>
            <wp:docPr id="12716069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06978" name=""/>
                    <pic:cNvPicPr/>
                  </pic:nvPicPr>
                  <pic:blipFill>
                    <a:blip r:embed="rId17"/>
                    <a:stretch>
                      <a:fillRect/>
                    </a:stretch>
                  </pic:blipFill>
                  <pic:spPr>
                    <a:xfrm>
                      <a:off x="0" y="0"/>
                      <a:ext cx="5612130" cy="3263900"/>
                    </a:xfrm>
                    <a:prstGeom prst="rect">
                      <a:avLst/>
                    </a:prstGeom>
                  </pic:spPr>
                </pic:pic>
              </a:graphicData>
            </a:graphic>
          </wp:inline>
        </w:drawing>
      </w:r>
    </w:p>
    <w:p w14:paraId="366AFD7C" w14:textId="77777777" w:rsidR="00B05AE2" w:rsidRPr="00FA7341" w:rsidRDefault="00B05AE2" w:rsidP="007369E7">
      <w:pPr>
        <w:spacing w:after="0"/>
        <w:ind w:right="-2"/>
        <w:jc w:val="center"/>
        <w:rPr>
          <w:rFonts w:ascii="Century Gothic" w:hAnsi="Century Gothic" w:cs="Arial"/>
        </w:rPr>
      </w:pPr>
    </w:p>
    <w:p w14:paraId="7203849C" w14:textId="1ED7617D" w:rsidR="00DD6A11" w:rsidRPr="00FA7341" w:rsidRDefault="005B0F68" w:rsidP="00B05AE2">
      <w:pPr>
        <w:spacing w:after="0"/>
        <w:ind w:right="-2"/>
        <w:jc w:val="center"/>
        <w:rPr>
          <w:rFonts w:ascii="Century Gothic" w:hAnsi="Century Gothic" w:cs="Arial"/>
        </w:rPr>
      </w:pPr>
      <w:r w:rsidRPr="00FA7341">
        <w:rPr>
          <w:rFonts w:ascii="Century Gothic" w:hAnsi="Century Gothic" w:cs="Arial"/>
        </w:rPr>
        <w:t xml:space="preserve">Fuente: </w:t>
      </w:r>
      <w:hyperlink r:id="rId18" w:anchor="/grafica/1" w:history="1">
        <w:r w:rsidR="00B05AE2" w:rsidRPr="00FA7341">
          <w:rPr>
            <w:rStyle w:val="Hipervnculo"/>
            <w:rFonts w:ascii="Century Gothic" w:hAnsi="Century Gothic" w:cs="Arial"/>
          </w:rPr>
          <w:t>https://suameca.banrep.gov.co/graficador-series/#/grafica/1</w:t>
        </w:r>
      </w:hyperlink>
      <w:r w:rsidR="00B05AE2" w:rsidRPr="00FA7341">
        <w:rPr>
          <w:rFonts w:ascii="Century Gothic" w:hAnsi="Century Gothic" w:cs="Arial"/>
        </w:rPr>
        <w:t xml:space="preserve"> </w:t>
      </w:r>
    </w:p>
    <w:p w14:paraId="0C03564D" w14:textId="77777777" w:rsidR="005B0F68" w:rsidRPr="00FA7341" w:rsidRDefault="005B0F68" w:rsidP="007369E7">
      <w:pPr>
        <w:spacing w:after="0"/>
        <w:jc w:val="both"/>
        <w:rPr>
          <w:rFonts w:ascii="Century Gothic" w:hAnsi="Century Gothic" w:cs="Arial"/>
        </w:rPr>
      </w:pPr>
      <w:r w:rsidRPr="00FA7341">
        <w:rPr>
          <w:rFonts w:ascii="Century Gothic" w:hAnsi="Century Gothic" w:cs="Arial"/>
        </w:rPr>
        <w:t>En línea con lo anterior, y para el caso colombiano, la volatilidad en la tasa de cambio al que están expuestas las empresas, puede afectar considerablemente la viabilidad de un negocio. Es por ello por lo que el precio del dólar es una variable fundamental en procesos que implican la adquisición de materias primas y/o productos importados, pues su comportamiento está permanentemente influenciado por variables económicas locales y externas, las cuales hacen que sea complejo realizar una estimación.</w:t>
      </w:r>
    </w:p>
    <w:p w14:paraId="6362D7C1" w14:textId="77777777" w:rsidR="0009162A" w:rsidRPr="00FA7341" w:rsidRDefault="0009162A" w:rsidP="007369E7">
      <w:pPr>
        <w:spacing w:after="0"/>
        <w:jc w:val="both"/>
        <w:rPr>
          <w:rFonts w:ascii="Century Gothic" w:hAnsi="Century Gothic" w:cs="Arial"/>
        </w:rPr>
      </w:pPr>
    </w:p>
    <w:p w14:paraId="1C756CAD" w14:textId="61FBE3A6" w:rsidR="005B0F68" w:rsidRPr="00FA7341" w:rsidRDefault="005B0F68" w:rsidP="007369E7">
      <w:pPr>
        <w:spacing w:after="0"/>
        <w:jc w:val="both"/>
        <w:rPr>
          <w:rFonts w:ascii="Century Gothic" w:hAnsi="Century Gothic" w:cs="Arial"/>
        </w:rPr>
      </w:pPr>
      <w:r w:rsidRPr="00FA7341">
        <w:rPr>
          <w:rFonts w:ascii="Century Gothic" w:hAnsi="Century Gothic" w:cs="Arial"/>
        </w:rPr>
        <w:t xml:space="preserve">En razón a lo anterior, el comportamiento del dólar se debe considerar como un factor previsible ante una cotización y/o presupuesto del presente proceso. </w:t>
      </w:r>
    </w:p>
    <w:p w14:paraId="40CB34DE" w14:textId="77777777" w:rsidR="0009162A" w:rsidRPr="00FA7341" w:rsidRDefault="0009162A" w:rsidP="007369E7">
      <w:pPr>
        <w:spacing w:after="0"/>
        <w:jc w:val="both"/>
        <w:rPr>
          <w:rFonts w:ascii="Century Gothic" w:hAnsi="Century Gothic" w:cs="Arial"/>
        </w:rPr>
      </w:pPr>
    </w:p>
    <w:p w14:paraId="5FD6D7D3" w14:textId="77777777" w:rsidR="005D79F7" w:rsidRPr="00FA7341" w:rsidRDefault="005D79F7" w:rsidP="007369E7">
      <w:pPr>
        <w:pStyle w:val="Ttulo3"/>
        <w:widowControl w:val="0"/>
        <w:numPr>
          <w:ilvl w:val="2"/>
          <w:numId w:val="1"/>
        </w:numPr>
        <w:shd w:val="clear" w:color="auto" w:fill="002060"/>
        <w:autoSpaceDE w:val="0"/>
        <w:autoSpaceDN w:val="0"/>
        <w:spacing w:before="0" w:line="240" w:lineRule="auto"/>
        <w:rPr>
          <w:rFonts w:ascii="Century Gothic" w:hAnsi="Century Gothic" w:cs="Arial"/>
          <w:color w:val="FFFFFF"/>
        </w:rPr>
      </w:pPr>
      <w:r w:rsidRPr="00FA7341">
        <w:rPr>
          <w:rFonts w:ascii="Century Gothic" w:hAnsi="Century Gothic" w:cs="Arial"/>
          <w:color w:val="FFFFFF"/>
        </w:rPr>
        <w:lastRenderedPageBreak/>
        <w:t xml:space="preserve"> </w:t>
      </w:r>
      <w:bookmarkStart w:id="14" w:name="_Toc232673893"/>
      <w:r w:rsidRPr="00FA7341">
        <w:rPr>
          <w:rFonts w:ascii="Century Gothic" w:hAnsi="Century Gothic" w:cs="Arial"/>
          <w:color w:val="FFFFFF"/>
        </w:rPr>
        <w:t>FACTOR VARIACIÓN DEL SMMLV:</w:t>
      </w:r>
      <w:bookmarkEnd w:id="14"/>
      <w:r w:rsidRPr="00FA7341">
        <w:rPr>
          <w:rFonts w:ascii="Century Gothic" w:hAnsi="Century Gothic" w:cs="Arial"/>
          <w:color w:val="FFFFFF"/>
        </w:rPr>
        <w:t xml:space="preserve"> </w:t>
      </w:r>
    </w:p>
    <w:p w14:paraId="5022B595" w14:textId="77777777" w:rsidR="005D79F7" w:rsidRPr="00FA7341" w:rsidRDefault="005D79F7" w:rsidP="007369E7">
      <w:pPr>
        <w:spacing w:after="0" w:line="240" w:lineRule="auto"/>
        <w:ind w:right="650"/>
        <w:jc w:val="both"/>
        <w:rPr>
          <w:rFonts w:ascii="Century Gothic" w:eastAsia="Arial" w:hAnsi="Century Gothic" w:cs="Arial"/>
          <w:color w:val="000000"/>
        </w:rPr>
      </w:pPr>
    </w:p>
    <w:p w14:paraId="071201FC" w14:textId="77777777" w:rsidR="00945CB4" w:rsidRPr="00FA7341" w:rsidRDefault="00945CB4" w:rsidP="00945CB4">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De acuerdo con la necesidad que se pretende atender por parte del proveedor, resulta indispensable analizar el incremento del salario mínimo en Colombia y las posibles repercusiones que este pueda generar tanto en la selección del contratista como en la adecuada ejecución del contrato, en especial en lo relacionado con la estructura de costos, la sostenibilidad económica de la oferta y el cumplimiento de las obligaciones contractuales.</w:t>
      </w:r>
    </w:p>
    <w:p w14:paraId="4806950E" w14:textId="77777777" w:rsidR="005D52B9" w:rsidRPr="00FA7341" w:rsidRDefault="005D52B9" w:rsidP="007369E7">
      <w:pPr>
        <w:spacing w:after="0" w:line="240" w:lineRule="auto"/>
        <w:jc w:val="both"/>
        <w:rPr>
          <w:rFonts w:ascii="Century Gothic" w:eastAsia="Arial" w:hAnsi="Century Gothic" w:cs="Arial"/>
          <w:color w:val="000000"/>
        </w:rPr>
      </w:pPr>
    </w:p>
    <w:p w14:paraId="3F911952" w14:textId="69372333" w:rsidR="008D79C6" w:rsidRPr="00FA7341" w:rsidRDefault="008D79C6" w:rsidP="007369E7">
      <w:pPr>
        <w:pStyle w:val="Descripcin"/>
        <w:spacing w:after="0"/>
        <w:jc w:val="center"/>
        <w:rPr>
          <w:rFonts w:ascii="Century Gothic" w:hAnsi="Century Gothic" w:cs="Arial"/>
          <w:noProof/>
          <w:color w:val="002060"/>
          <w:sz w:val="22"/>
          <w:szCs w:val="22"/>
        </w:rPr>
      </w:pPr>
      <w:bookmarkStart w:id="15" w:name="_Toc226395607"/>
      <w:r w:rsidRPr="00FA7341">
        <w:rPr>
          <w:rFonts w:ascii="Century Gothic" w:hAnsi="Century Gothic" w:cs="Arial"/>
          <w:noProof/>
          <w:color w:val="002060"/>
          <w:sz w:val="22"/>
          <w:szCs w:val="22"/>
        </w:rPr>
        <w:t xml:space="preserve">Gráfico </w:t>
      </w:r>
      <w:r w:rsidRPr="00FA7341">
        <w:rPr>
          <w:rFonts w:ascii="Century Gothic" w:hAnsi="Century Gothic" w:cs="Arial"/>
          <w:noProof/>
          <w:color w:val="002060"/>
          <w:sz w:val="22"/>
          <w:szCs w:val="22"/>
        </w:rPr>
        <w:fldChar w:fldCharType="begin"/>
      </w:r>
      <w:r w:rsidRPr="00FA7341">
        <w:rPr>
          <w:rFonts w:ascii="Century Gothic" w:hAnsi="Century Gothic" w:cs="Arial"/>
          <w:noProof/>
          <w:color w:val="002060"/>
          <w:sz w:val="22"/>
          <w:szCs w:val="22"/>
        </w:rPr>
        <w:instrText xml:space="preserve"> SEQ Gráfico \* ARABIC </w:instrText>
      </w:r>
      <w:r w:rsidRPr="00FA7341">
        <w:rPr>
          <w:rFonts w:ascii="Century Gothic" w:hAnsi="Century Gothic" w:cs="Arial"/>
          <w:noProof/>
          <w:color w:val="002060"/>
          <w:sz w:val="22"/>
          <w:szCs w:val="22"/>
        </w:rPr>
        <w:fldChar w:fldCharType="separate"/>
      </w:r>
      <w:r w:rsidR="00030ED5" w:rsidRPr="00FA7341">
        <w:rPr>
          <w:rFonts w:ascii="Century Gothic" w:hAnsi="Century Gothic" w:cs="Arial"/>
          <w:noProof/>
          <w:color w:val="002060"/>
          <w:sz w:val="22"/>
          <w:szCs w:val="22"/>
        </w:rPr>
        <w:t>2</w:t>
      </w:r>
      <w:r w:rsidRPr="00FA7341">
        <w:rPr>
          <w:rFonts w:ascii="Century Gothic" w:hAnsi="Century Gothic" w:cs="Arial"/>
          <w:noProof/>
          <w:color w:val="002060"/>
          <w:sz w:val="22"/>
          <w:szCs w:val="22"/>
        </w:rPr>
        <w:fldChar w:fldCharType="end"/>
      </w:r>
      <w:r w:rsidRPr="00FA7341">
        <w:rPr>
          <w:rFonts w:ascii="Century Gothic" w:hAnsi="Century Gothic" w:cs="Arial"/>
          <w:noProof/>
          <w:color w:val="002060"/>
          <w:sz w:val="22"/>
          <w:szCs w:val="22"/>
        </w:rPr>
        <w:t xml:space="preserve"> Salario Mínimo Legal Vigente</w:t>
      </w:r>
      <w:bookmarkEnd w:id="15"/>
    </w:p>
    <w:p w14:paraId="0189C683" w14:textId="658B4AED" w:rsidR="0009162A" w:rsidRPr="00FA7341" w:rsidRDefault="0009162A" w:rsidP="0009162A">
      <w:pPr>
        <w:rPr>
          <w:rFonts w:ascii="Century Gothic" w:hAnsi="Century Gothic"/>
        </w:rPr>
      </w:pPr>
    </w:p>
    <w:p w14:paraId="5D13F315" w14:textId="19A9492F" w:rsidR="008D79C6" w:rsidRPr="00FA7341" w:rsidRDefault="002D3AAE" w:rsidP="001E6F8C">
      <w:pPr>
        <w:pStyle w:val="Descripcin"/>
        <w:spacing w:after="0"/>
        <w:rPr>
          <w:rFonts w:ascii="Century Gothic" w:hAnsi="Century Gothic" w:cs="Arial"/>
          <w:sz w:val="22"/>
          <w:szCs w:val="22"/>
        </w:rPr>
      </w:pPr>
      <w:r w:rsidRPr="00FA7341">
        <w:rPr>
          <w:rFonts w:ascii="Century Gothic" w:hAnsi="Century Gothic" w:cs="Arial"/>
          <w:noProof/>
          <w:sz w:val="22"/>
          <w:szCs w:val="22"/>
          <w:lang w:eastAsia="es-CO"/>
        </w:rPr>
        <w:drawing>
          <wp:inline distT="0" distB="0" distL="0" distR="0" wp14:anchorId="26C1C548" wp14:editId="548733A8">
            <wp:extent cx="5612130" cy="3352800"/>
            <wp:effectExtent l="0" t="0" r="7620" b="0"/>
            <wp:docPr id="11443672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67290" name=""/>
                    <pic:cNvPicPr/>
                  </pic:nvPicPr>
                  <pic:blipFill>
                    <a:blip r:embed="rId19"/>
                    <a:stretch>
                      <a:fillRect/>
                    </a:stretch>
                  </pic:blipFill>
                  <pic:spPr>
                    <a:xfrm>
                      <a:off x="0" y="0"/>
                      <a:ext cx="5612130" cy="3352800"/>
                    </a:xfrm>
                    <a:prstGeom prst="rect">
                      <a:avLst/>
                    </a:prstGeom>
                  </pic:spPr>
                </pic:pic>
              </a:graphicData>
            </a:graphic>
          </wp:inline>
        </w:drawing>
      </w:r>
      <w:r w:rsidRPr="00FA7341">
        <w:rPr>
          <w:rFonts w:ascii="Century Gothic" w:hAnsi="Century Gothic" w:cs="Arial"/>
          <w:noProof/>
          <w:sz w:val="22"/>
          <w:szCs w:val="22"/>
          <w:lang w:eastAsia="es-CO"/>
        </w:rPr>
        <w:t xml:space="preserve"> </w:t>
      </w:r>
    </w:p>
    <w:p w14:paraId="79E52AAC" w14:textId="16C46A2A" w:rsidR="001E6F8C" w:rsidRPr="00FA7341" w:rsidRDefault="001E6F8C" w:rsidP="001E6F8C">
      <w:pPr>
        <w:rPr>
          <w:rFonts w:ascii="Century Gothic" w:hAnsi="Century Gothic"/>
        </w:rPr>
      </w:pPr>
    </w:p>
    <w:p w14:paraId="6B37767C" w14:textId="646587C6" w:rsidR="005D79F7" w:rsidRPr="00FA7341" w:rsidRDefault="005D79F7" w:rsidP="001E6F8C">
      <w:pPr>
        <w:spacing w:after="0" w:line="240" w:lineRule="auto"/>
        <w:ind w:right="-93"/>
        <w:rPr>
          <w:rFonts w:ascii="Century Gothic" w:eastAsia="Arial" w:hAnsi="Century Gothic" w:cs="Arial"/>
          <w:bCs/>
          <w:color w:val="000000"/>
        </w:rPr>
      </w:pPr>
      <w:r w:rsidRPr="00FA7341">
        <w:rPr>
          <w:rFonts w:ascii="Century Gothic" w:eastAsia="Arial" w:hAnsi="Century Gothic" w:cs="Arial"/>
          <w:bCs/>
          <w:color w:val="000000"/>
        </w:rPr>
        <w:t xml:space="preserve">Fuente: </w:t>
      </w:r>
      <w:proofErr w:type="spellStart"/>
      <w:r w:rsidRPr="00FA7341">
        <w:rPr>
          <w:rFonts w:ascii="Century Gothic" w:eastAsia="Arial" w:hAnsi="Century Gothic" w:cs="Arial"/>
          <w:bCs/>
          <w:color w:val="000000"/>
        </w:rPr>
        <w:t>MinTrabajo</w:t>
      </w:r>
      <w:proofErr w:type="spellEnd"/>
      <w:r w:rsidRPr="00FA7341">
        <w:rPr>
          <w:rFonts w:ascii="Century Gothic" w:eastAsia="Arial" w:hAnsi="Century Gothic" w:cs="Arial"/>
          <w:bCs/>
          <w:color w:val="000000"/>
        </w:rPr>
        <w:t xml:space="preserve"> – </w:t>
      </w:r>
      <w:hyperlink r:id="rId20" w:history="1">
        <w:r w:rsidR="002D3AAE" w:rsidRPr="00FA7341">
          <w:rPr>
            <w:rStyle w:val="Hipervnculo"/>
            <w:rFonts w:ascii="Century Gothic" w:eastAsia="Arial" w:hAnsi="Century Gothic" w:cs="Arial"/>
            <w:bCs/>
          </w:rPr>
          <w:t>https://www.larepublica.co/economia/ingreso-diario-para-un-trabajador-que-gane-el-salario-minimo-en-2026-sera-de-48-719-3774482</w:t>
        </w:r>
      </w:hyperlink>
    </w:p>
    <w:p w14:paraId="321FCFBF" w14:textId="77777777" w:rsidR="002E6906" w:rsidRPr="00FA7341" w:rsidRDefault="002E6906" w:rsidP="007369E7">
      <w:pPr>
        <w:pStyle w:val="Descripcin"/>
        <w:spacing w:after="0"/>
        <w:jc w:val="center"/>
        <w:rPr>
          <w:rFonts w:ascii="Century Gothic" w:hAnsi="Century Gothic" w:cs="Arial"/>
          <w:b w:val="0"/>
          <w:bCs w:val="0"/>
          <w:color w:val="FFFFFF"/>
          <w:sz w:val="22"/>
          <w:szCs w:val="22"/>
          <w:highlight w:val="darkGray"/>
        </w:rPr>
      </w:pPr>
    </w:p>
    <w:p w14:paraId="47DA2A1F" w14:textId="77777777" w:rsidR="002E6906" w:rsidRPr="00FA7341" w:rsidRDefault="002E6906" w:rsidP="007369E7">
      <w:pPr>
        <w:spacing w:after="0" w:line="240" w:lineRule="auto"/>
        <w:jc w:val="both"/>
        <w:rPr>
          <w:rFonts w:ascii="Century Gothic" w:eastAsia="Arial" w:hAnsi="Century Gothic" w:cs="Arial"/>
          <w:color w:val="000000"/>
        </w:rPr>
      </w:pPr>
    </w:p>
    <w:p w14:paraId="4CE7E49E" w14:textId="34CC51D2" w:rsidR="005D79F7" w:rsidRPr="00FA7341" w:rsidRDefault="008D79C6" w:rsidP="007369E7">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Con un incremento de </w:t>
      </w:r>
      <w:r w:rsidR="002D3AAE" w:rsidRPr="00FA7341">
        <w:rPr>
          <w:rFonts w:ascii="Century Gothic" w:eastAsia="Arial" w:hAnsi="Century Gothic" w:cs="Arial"/>
          <w:color w:val="000000"/>
        </w:rPr>
        <w:t>23</w:t>
      </w:r>
      <w:r w:rsidRPr="00FA7341">
        <w:rPr>
          <w:rFonts w:ascii="Century Gothic" w:eastAsia="Arial" w:hAnsi="Century Gothic" w:cs="Arial"/>
          <w:color w:val="000000"/>
        </w:rPr>
        <w:t>% que decretó el Gobierno Nacional, el salario mínimo en el 202</w:t>
      </w:r>
      <w:r w:rsidR="002D3AAE" w:rsidRPr="00FA7341">
        <w:rPr>
          <w:rFonts w:ascii="Century Gothic" w:eastAsia="Arial" w:hAnsi="Century Gothic" w:cs="Arial"/>
          <w:color w:val="000000"/>
        </w:rPr>
        <w:t>6</w:t>
      </w:r>
      <w:r w:rsidRPr="00FA7341">
        <w:rPr>
          <w:rFonts w:ascii="Century Gothic" w:eastAsia="Arial" w:hAnsi="Century Gothic" w:cs="Arial"/>
          <w:color w:val="000000"/>
        </w:rPr>
        <w:t xml:space="preserve">, quedó en </w:t>
      </w:r>
      <w:r w:rsidR="002E6906" w:rsidRPr="00FA7341">
        <w:rPr>
          <w:rFonts w:ascii="Century Gothic" w:eastAsia="Arial" w:hAnsi="Century Gothic" w:cs="Arial"/>
          <w:color w:val="000000"/>
        </w:rPr>
        <w:t>$1.</w:t>
      </w:r>
      <w:r w:rsidR="002D3AAE" w:rsidRPr="00FA7341">
        <w:rPr>
          <w:rFonts w:ascii="Century Gothic" w:eastAsia="Arial" w:hAnsi="Century Gothic" w:cs="Arial"/>
          <w:color w:val="000000"/>
        </w:rPr>
        <w:t>750</w:t>
      </w:r>
      <w:r w:rsidR="002E6906" w:rsidRPr="00FA7341">
        <w:rPr>
          <w:rFonts w:ascii="Century Gothic" w:eastAsia="Arial" w:hAnsi="Century Gothic" w:cs="Arial"/>
          <w:color w:val="000000"/>
        </w:rPr>
        <w:t>.</w:t>
      </w:r>
      <w:r w:rsidR="002D3AAE" w:rsidRPr="00FA7341">
        <w:rPr>
          <w:rFonts w:ascii="Century Gothic" w:eastAsia="Arial" w:hAnsi="Century Gothic" w:cs="Arial"/>
          <w:color w:val="000000"/>
        </w:rPr>
        <w:t>905</w:t>
      </w:r>
      <w:r w:rsidR="002E6906" w:rsidRPr="00FA7341">
        <w:rPr>
          <w:rFonts w:ascii="Century Gothic" w:eastAsia="Arial" w:hAnsi="Century Gothic" w:cs="Arial"/>
          <w:color w:val="000000"/>
        </w:rPr>
        <w:t xml:space="preserve"> </w:t>
      </w:r>
      <w:r w:rsidRPr="00FA7341">
        <w:rPr>
          <w:rFonts w:ascii="Century Gothic" w:eastAsia="Arial" w:hAnsi="Century Gothic" w:cs="Arial"/>
          <w:color w:val="000000"/>
        </w:rPr>
        <w:t>y el auxilio de transporte se fijó en $</w:t>
      </w:r>
      <w:r w:rsidR="002E6906" w:rsidRPr="00FA7341">
        <w:rPr>
          <w:rFonts w:ascii="Century Gothic" w:eastAsia="Arial" w:hAnsi="Century Gothic" w:cs="Arial"/>
          <w:color w:val="000000"/>
        </w:rPr>
        <w:t>2</w:t>
      </w:r>
      <w:r w:rsidR="002D3AAE" w:rsidRPr="00FA7341">
        <w:rPr>
          <w:rFonts w:ascii="Century Gothic" w:eastAsia="Arial" w:hAnsi="Century Gothic" w:cs="Arial"/>
          <w:color w:val="000000"/>
        </w:rPr>
        <w:t>49</w:t>
      </w:r>
      <w:r w:rsidRPr="00FA7341">
        <w:rPr>
          <w:rFonts w:ascii="Century Gothic" w:eastAsia="Arial" w:hAnsi="Century Gothic" w:cs="Arial"/>
          <w:color w:val="000000"/>
        </w:rPr>
        <w:t>.0</w:t>
      </w:r>
      <w:r w:rsidR="002D3AAE" w:rsidRPr="00FA7341">
        <w:rPr>
          <w:rFonts w:ascii="Century Gothic" w:eastAsia="Arial" w:hAnsi="Century Gothic" w:cs="Arial"/>
          <w:color w:val="000000"/>
        </w:rPr>
        <w:t>5</w:t>
      </w:r>
      <w:r w:rsidRPr="00FA7341">
        <w:rPr>
          <w:rFonts w:ascii="Century Gothic" w:eastAsia="Arial" w:hAnsi="Century Gothic" w:cs="Arial"/>
          <w:color w:val="000000"/>
        </w:rPr>
        <w:t>0</w:t>
      </w:r>
      <w:r w:rsidR="00B513E5" w:rsidRPr="00FA7341">
        <w:rPr>
          <w:rFonts w:ascii="Century Gothic" w:eastAsia="Arial" w:hAnsi="Century Gothic" w:cs="Arial"/>
          <w:color w:val="000000"/>
        </w:rPr>
        <w:t>.</w:t>
      </w:r>
    </w:p>
    <w:p w14:paraId="74B02AA9" w14:textId="77777777" w:rsidR="00F2403D" w:rsidRPr="00FA7341" w:rsidRDefault="00F2403D" w:rsidP="006170C9">
      <w:pPr>
        <w:spacing w:after="0"/>
        <w:rPr>
          <w:rFonts w:ascii="Century Gothic" w:hAnsi="Century Gothic" w:cs="Arial"/>
        </w:rPr>
      </w:pPr>
    </w:p>
    <w:p w14:paraId="25617EBF" w14:textId="1F2A5333" w:rsidR="005D79F7" w:rsidRPr="00FA7341" w:rsidRDefault="00F2403D" w:rsidP="007369E7">
      <w:pPr>
        <w:pStyle w:val="Descripcin"/>
        <w:spacing w:after="0"/>
        <w:jc w:val="center"/>
        <w:rPr>
          <w:rFonts w:ascii="Century Gothic" w:hAnsi="Century Gothic" w:cs="Arial"/>
          <w:sz w:val="22"/>
          <w:szCs w:val="22"/>
        </w:rPr>
      </w:pPr>
      <w:bookmarkStart w:id="16" w:name="_Toc192773259"/>
      <w:r w:rsidRPr="00FA7341">
        <w:rPr>
          <w:rFonts w:ascii="Century Gothic" w:hAnsi="Century Gothic" w:cs="Arial"/>
          <w:noProof/>
          <w:color w:val="002060"/>
          <w:sz w:val="22"/>
          <w:szCs w:val="22"/>
        </w:rPr>
        <w:t xml:space="preserve">Tabla </w:t>
      </w:r>
      <w:r w:rsidRPr="00FA7341">
        <w:rPr>
          <w:rFonts w:ascii="Century Gothic" w:hAnsi="Century Gothic" w:cs="Arial"/>
          <w:noProof/>
          <w:color w:val="002060"/>
          <w:sz w:val="22"/>
          <w:szCs w:val="22"/>
        </w:rPr>
        <w:fldChar w:fldCharType="begin"/>
      </w:r>
      <w:r w:rsidRPr="00FA7341">
        <w:rPr>
          <w:rFonts w:ascii="Century Gothic" w:hAnsi="Century Gothic" w:cs="Arial"/>
          <w:noProof/>
          <w:color w:val="002060"/>
          <w:sz w:val="22"/>
          <w:szCs w:val="22"/>
        </w:rPr>
        <w:instrText xml:space="preserve"> SEQ Tabla \* ARABIC </w:instrText>
      </w:r>
      <w:r w:rsidRPr="00FA7341">
        <w:rPr>
          <w:rFonts w:ascii="Century Gothic" w:hAnsi="Century Gothic" w:cs="Arial"/>
          <w:noProof/>
          <w:color w:val="002060"/>
          <w:sz w:val="22"/>
          <w:szCs w:val="22"/>
        </w:rPr>
        <w:fldChar w:fldCharType="separate"/>
      </w:r>
      <w:r w:rsidR="00030ED5" w:rsidRPr="00FA7341">
        <w:rPr>
          <w:rFonts w:ascii="Century Gothic" w:hAnsi="Century Gothic" w:cs="Arial"/>
          <w:noProof/>
          <w:color w:val="002060"/>
          <w:sz w:val="22"/>
          <w:szCs w:val="22"/>
        </w:rPr>
        <w:t>3</w:t>
      </w:r>
      <w:r w:rsidRPr="00FA7341">
        <w:rPr>
          <w:rFonts w:ascii="Century Gothic" w:hAnsi="Century Gothic" w:cs="Arial"/>
          <w:noProof/>
          <w:color w:val="002060"/>
          <w:sz w:val="22"/>
          <w:szCs w:val="22"/>
        </w:rPr>
        <w:fldChar w:fldCharType="end"/>
      </w:r>
      <w:r w:rsidRPr="00FA7341">
        <w:rPr>
          <w:rFonts w:ascii="Century Gothic" w:hAnsi="Century Gothic" w:cs="Arial"/>
          <w:noProof/>
          <w:color w:val="002060"/>
          <w:sz w:val="22"/>
          <w:szCs w:val="22"/>
        </w:rPr>
        <w:t xml:space="preserve"> Histórico Salario Mínimo en Colombia</w:t>
      </w:r>
      <w:bookmarkEnd w:id="16"/>
    </w:p>
    <w:tbl>
      <w:tblPr>
        <w:tblW w:w="0" w:type="auto"/>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2070"/>
        <w:gridCol w:w="2205"/>
        <w:gridCol w:w="2685"/>
      </w:tblGrid>
      <w:tr w:rsidR="005D79F7" w:rsidRPr="00FA7341" w14:paraId="5A2F6823"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84827B3"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Año</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327CE59"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Salario mínimo</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92421BE"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Auxilio de transporte</w:t>
            </w:r>
          </w:p>
        </w:tc>
      </w:tr>
      <w:tr w:rsidR="005D79F7" w:rsidRPr="00FA7341" w14:paraId="4FC700AD"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7BAF90E"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lastRenderedPageBreak/>
              <w:t>2019</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AF16EF9"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$828.116</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B3AF49C"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$97.032</w:t>
            </w:r>
          </w:p>
        </w:tc>
      </w:tr>
      <w:tr w:rsidR="005D79F7" w:rsidRPr="00FA7341" w14:paraId="70E29D1C"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071DE5E"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2020</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B6C76BE"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$887.803</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B143283"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$102.854</w:t>
            </w:r>
          </w:p>
        </w:tc>
      </w:tr>
      <w:tr w:rsidR="005D79F7" w:rsidRPr="00FA7341" w14:paraId="3D35A76F"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0B22CFD"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2021</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E74BC75"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$908.526</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F6E801D"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$106.454</w:t>
            </w:r>
          </w:p>
        </w:tc>
      </w:tr>
      <w:tr w:rsidR="005D79F7" w:rsidRPr="00FA7341" w14:paraId="6834BB33"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E65316E"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2022</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B261637"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$1.000.000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F2EF9E0"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$117.172</w:t>
            </w:r>
          </w:p>
        </w:tc>
      </w:tr>
      <w:tr w:rsidR="005D79F7" w:rsidRPr="00FA7341" w14:paraId="79B5E450"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9FE6F8A"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b/>
                <w:bCs/>
                <w:color w:val="000000"/>
                <w:kern w:val="0"/>
              </w:rPr>
              <w:t>2023</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109DD12"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$1.160.000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272D082"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$140.000</w:t>
            </w:r>
          </w:p>
        </w:tc>
      </w:tr>
      <w:tr w:rsidR="005D79F7" w:rsidRPr="00FA7341" w14:paraId="2D55BEE3"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204D024" w14:textId="77777777" w:rsidR="005D79F7" w:rsidRPr="00FA7341" w:rsidRDefault="005D79F7" w:rsidP="007369E7">
            <w:pPr>
              <w:spacing w:after="0" w:line="240" w:lineRule="auto"/>
              <w:jc w:val="center"/>
              <w:rPr>
                <w:rFonts w:ascii="Century Gothic" w:eastAsia="Arial" w:hAnsi="Century Gothic" w:cs="Arial"/>
                <w:b/>
                <w:bCs/>
                <w:color w:val="000000"/>
                <w:kern w:val="0"/>
              </w:rPr>
            </w:pPr>
            <w:r w:rsidRPr="00FA7341">
              <w:rPr>
                <w:rFonts w:ascii="Century Gothic" w:eastAsia="Arial" w:hAnsi="Century Gothic" w:cs="Arial"/>
                <w:b/>
                <w:bCs/>
                <w:color w:val="000000"/>
                <w:kern w:val="0"/>
              </w:rPr>
              <w:t>2024</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DB1D151"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$1.300.000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9B7DAE7" w14:textId="77777777" w:rsidR="005D79F7" w:rsidRPr="00FA7341" w:rsidRDefault="005D79F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$162.000</w:t>
            </w:r>
          </w:p>
        </w:tc>
      </w:tr>
      <w:tr w:rsidR="00162A07" w:rsidRPr="00FA7341" w14:paraId="5A677E84"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69E64B1" w14:textId="7948E377" w:rsidR="00162A07" w:rsidRPr="00FA7341" w:rsidRDefault="00162A07" w:rsidP="007369E7">
            <w:pPr>
              <w:spacing w:after="0" w:line="240" w:lineRule="auto"/>
              <w:jc w:val="center"/>
              <w:rPr>
                <w:rFonts w:ascii="Century Gothic" w:eastAsia="Arial" w:hAnsi="Century Gothic" w:cs="Arial"/>
                <w:b/>
                <w:bCs/>
                <w:color w:val="000000"/>
                <w:kern w:val="0"/>
              </w:rPr>
            </w:pPr>
            <w:r w:rsidRPr="00FA7341">
              <w:rPr>
                <w:rFonts w:ascii="Century Gothic" w:eastAsia="Arial" w:hAnsi="Century Gothic" w:cs="Arial"/>
                <w:b/>
                <w:bCs/>
                <w:color w:val="000000"/>
                <w:kern w:val="0"/>
              </w:rPr>
              <w:t>2025</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589B5F1" w14:textId="0E2C9C7E" w:rsidR="00162A07" w:rsidRPr="00FA7341" w:rsidRDefault="00162A0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$1.423.500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F1597A5" w14:textId="6BA79FA8" w:rsidR="00162A07" w:rsidRPr="00FA7341" w:rsidRDefault="00162A07"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$200.000</w:t>
            </w:r>
          </w:p>
        </w:tc>
      </w:tr>
      <w:tr w:rsidR="002D3AAE" w:rsidRPr="00FA7341" w14:paraId="28D233FE" w14:textId="77777777" w:rsidTr="005D79F7">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149C5E1" w14:textId="6EE93D88" w:rsidR="002D3AAE" w:rsidRPr="00FA7341" w:rsidRDefault="002D3AAE" w:rsidP="007369E7">
            <w:pPr>
              <w:spacing w:after="0" w:line="240" w:lineRule="auto"/>
              <w:jc w:val="center"/>
              <w:rPr>
                <w:rFonts w:ascii="Century Gothic" w:eastAsia="Arial" w:hAnsi="Century Gothic" w:cs="Arial"/>
                <w:b/>
                <w:bCs/>
                <w:color w:val="000000"/>
                <w:kern w:val="0"/>
              </w:rPr>
            </w:pPr>
            <w:r w:rsidRPr="00FA7341">
              <w:rPr>
                <w:rFonts w:ascii="Century Gothic" w:eastAsia="Arial" w:hAnsi="Century Gothic" w:cs="Arial"/>
                <w:b/>
                <w:bCs/>
                <w:color w:val="000000"/>
                <w:kern w:val="0"/>
              </w:rPr>
              <w:t>2026</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6392E7F" w14:textId="5A413F6A" w:rsidR="002D3AAE" w:rsidRPr="00FA7341" w:rsidRDefault="002D3AAE"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$1.750.905</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AB97BE1" w14:textId="71E8C8E0" w:rsidR="002D3AAE" w:rsidRPr="00FA7341" w:rsidRDefault="002D3AAE" w:rsidP="007369E7">
            <w:pPr>
              <w:spacing w:after="0" w:line="240" w:lineRule="auto"/>
              <w:jc w:val="center"/>
              <w:rPr>
                <w:rFonts w:ascii="Century Gothic" w:eastAsia="Arial" w:hAnsi="Century Gothic" w:cs="Arial"/>
                <w:color w:val="000000"/>
                <w:kern w:val="0"/>
              </w:rPr>
            </w:pPr>
            <w:r w:rsidRPr="00FA7341">
              <w:rPr>
                <w:rFonts w:ascii="Century Gothic" w:eastAsia="Arial" w:hAnsi="Century Gothic" w:cs="Arial"/>
                <w:color w:val="000000"/>
                <w:kern w:val="0"/>
              </w:rPr>
              <w:t>$249.050</w:t>
            </w:r>
          </w:p>
        </w:tc>
      </w:tr>
    </w:tbl>
    <w:p w14:paraId="4D88E4AE" w14:textId="77777777" w:rsidR="004B30FF" w:rsidRPr="00FA7341" w:rsidRDefault="004B30FF" w:rsidP="007369E7">
      <w:pPr>
        <w:spacing w:after="0" w:line="240" w:lineRule="auto"/>
        <w:ind w:left="706" w:right="711"/>
        <w:rPr>
          <w:rFonts w:ascii="Century Gothic" w:eastAsia="Arial" w:hAnsi="Century Gothic" w:cs="Arial"/>
          <w:color w:val="000000"/>
        </w:rPr>
      </w:pPr>
    </w:p>
    <w:p w14:paraId="3707D71D" w14:textId="60F5931A" w:rsidR="00162A07" w:rsidRPr="00FA7341" w:rsidRDefault="005D79F7" w:rsidP="006170C9">
      <w:pPr>
        <w:spacing w:after="0" w:line="240" w:lineRule="auto"/>
        <w:ind w:left="708" w:right="-93" w:firstLine="45"/>
        <w:jc w:val="center"/>
        <w:rPr>
          <w:rFonts w:ascii="Century Gothic" w:eastAsia="Arial" w:hAnsi="Century Gothic" w:cs="Arial"/>
          <w:bCs/>
          <w:color w:val="000000"/>
        </w:rPr>
      </w:pPr>
      <w:r w:rsidRPr="00FA7341">
        <w:rPr>
          <w:rFonts w:ascii="Century Gothic" w:eastAsia="Arial" w:hAnsi="Century Gothic" w:cs="Arial"/>
          <w:color w:val="000000"/>
        </w:rPr>
        <w:t xml:space="preserve">Fuente: </w:t>
      </w:r>
      <w:hyperlink r:id="rId21" w:history="1">
        <w:r w:rsidR="0031755E" w:rsidRPr="00FA7341">
          <w:rPr>
            <w:rStyle w:val="Hipervnculo"/>
            <w:rFonts w:ascii="Century Gothic" w:eastAsia="Arial" w:hAnsi="Century Gothic" w:cs="Arial"/>
            <w:bCs/>
          </w:rPr>
          <w:t>https://www.larepublica.co/economia/ingreso-diario-para-un-trabajador-que-gane-el-salario-minimo-en-2024-sera-de-48-719-3774482</w:t>
        </w:r>
      </w:hyperlink>
    </w:p>
    <w:p w14:paraId="080F6DFF" w14:textId="77777777" w:rsidR="006170C9" w:rsidRPr="00FA7341" w:rsidRDefault="006170C9" w:rsidP="006170C9">
      <w:pPr>
        <w:spacing w:after="0" w:line="240" w:lineRule="auto"/>
        <w:ind w:left="708" w:right="-93" w:firstLine="45"/>
        <w:jc w:val="center"/>
        <w:rPr>
          <w:rFonts w:ascii="Century Gothic" w:eastAsia="Arial" w:hAnsi="Century Gothic" w:cs="Arial"/>
          <w:bCs/>
          <w:color w:val="000000"/>
        </w:rPr>
      </w:pPr>
    </w:p>
    <w:p w14:paraId="22D64939" w14:textId="77777777" w:rsidR="005D79F7" w:rsidRPr="00FA7341" w:rsidRDefault="005D79F7" w:rsidP="007369E7">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El salario mínimo al igual que el subsidio de transporte, relacionados anteriormente, se deben tener en cuenta dentro de este estudio, dado que es un indicador de capacidad productiva en </w:t>
      </w:r>
      <w:r w:rsidR="00CE3DDB" w:rsidRPr="00FA7341">
        <w:rPr>
          <w:rFonts w:ascii="Century Gothic" w:eastAsia="Arial" w:hAnsi="Century Gothic" w:cs="Arial"/>
          <w:color w:val="000000"/>
        </w:rPr>
        <w:t>el</w:t>
      </w:r>
      <w:r w:rsidRPr="00FA7341">
        <w:rPr>
          <w:rFonts w:ascii="Century Gothic" w:eastAsia="Arial" w:hAnsi="Century Gothic" w:cs="Arial"/>
          <w:color w:val="000000"/>
        </w:rPr>
        <w:t xml:space="preserve"> país.</w:t>
      </w:r>
    </w:p>
    <w:p w14:paraId="11C3E7C0" w14:textId="77777777" w:rsidR="005D79F7" w:rsidRPr="00FA7341" w:rsidRDefault="005D79F7" w:rsidP="007369E7">
      <w:pPr>
        <w:spacing w:after="0" w:line="240" w:lineRule="auto"/>
        <w:jc w:val="both"/>
        <w:rPr>
          <w:rFonts w:ascii="Century Gothic" w:eastAsia="Arial" w:hAnsi="Century Gothic" w:cs="Arial"/>
          <w:color w:val="000000"/>
        </w:rPr>
      </w:pPr>
    </w:p>
    <w:p w14:paraId="239E74A3" w14:textId="77777777" w:rsidR="005D79F7" w:rsidRPr="00FA7341" w:rsidRDefault="005D79F7" w:rsidP="007369E7">
      <w:p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Para calcular el valor del salario mínimo, se tienen en cuenta algunas variables económicas, donde definitivamente la principal variable es la inflación del año inmediatamente anterior. Generalmente el salario mínimo, se toma por parte de los empresarios y el gobierno como la base para el incremento de los salarios de los demás trabajadores que no devenguen este valor.</w:t>
      </w:r>
    </w:p>
    <w:p w14:paraId="10ED5A6C" w14:textId="77777777" w:rsidR="005602A8" w:rsidRPr="00FA7341" w:rsidRDefault="005602A8" w:rsidP="007369E7">
      <w:pPr>
        <w:spacing w:after="0" w:line="240" w:lineRule="auto"/>
        <w:jc w:val="both"/>
        <w:rPr>
          <w:rFonts w:ascii="Century Gothic" w:eastAsia="Arial" w:hAnsi="Century Gothic" w:cs="Arial"/>
          <w:color w:val="000000"/>
        </w:rPr>
      </w:pPr>
    </w:p>
    <w:p w14:paraId="7CB2A677" w14:textId="6230AF0D" w:rsidR="005B0F68" w:rsidRPr="00FA7341" w:rsidRDefault="005602A8" w:rsidP="007369E7">
      <w:pPr>
        <w:spacing w:after="0"/>
        <w:jc w:val="both"/>
        <w:rPr>
          <w:rFonts w:ascii="Century Gothic" w:hAnsi="Century Gothic" w:cs="Arial"/>
        </w:rPr>
      </w:pPr>
      <w:r w:rsidRPr="00FA7341">
        <w:rPr>
          <w:rFonts w:ascii="Century Gothic" w:hAnsi="Century Gothic" w:cs="Arial"/>
        </w:rPr>
        <w:t>Finalmente cabe anotar, que para el presente proceso es fundamental analizar el valor del salario mínimo legal vigente, no solo por la incidencia que tiene en la economía, sino también por los efectos que éste provoca y que los posibles oferentes deben tener en cuenta al momento de estructurar sus costos.</w:t>
      </w:r>
    </w:p>
    <w:p w14:paraId="3CA42412" w14:textId="77777777" w:rsidR="001E6F8C" w:rsidRPr="00FA7341" w:rsidRDefault="001E6F8C" w:rsidP="007369E7">
      <w:pPr>
        <w:spacing w:after="0"/>
        <w:jc w:val="both"/>
        <w:rPr>
          <w:rFonts w:ascii="Century Gothic" w:hAnsi="Century Gothic" w:cs="Arial"/>
        </w:rPr>
      </w:pPr>
    </w:p>
    <w:p w14:paraId="6CA91D23" w14:textId="77777777" w:rsidR="005D79F7" w:rsidRPr="00FA7341" w:rsidRDefault="005602A8" w:rsidP="007369E7">
      <w:pPr>
        <w:spacing w:after="0"/>
        <w:jc w:val="both"/>
        <w:rPr>
          <w:rFonts w:ascii="Century Gothic" w:hAnsi="Century Gothic" w:cs="Arial"/>
        </w:rPr>
      </w:pPr>
      <w:r w:rsidRPr="00FA7341">
        <w:rPr>
          <w:rFonts w:ascii="Century Gothic" w:hAnsi="Century Gothic" w:cs="Arial"/>
        </w:rPr>
        <w:t>Además del salario final, también se podrían nombrar otras variables de importancia como lo son; prestaciones, tasas y contribuciones, las cuales debe tener en cuenta el futuro proponente al momento de estructurar costos directos e indirectos.</w:t>
      </w:r>
    </w:p>
    <w:p w14:paraId="65738C94" w14:textId="77777777" w:rsidR="001E6F8C" w:rsidRPr="00FA7341" w:rsidRDefault="001E6F8C" w:rsidP="007369E7">
      <w:pPr>
        <w:spacing w:after="0"/>
        <w:jc w:val="both"/>
        <w:rPr>
          <w:rFonts w:ascii="Century Gothic" w:hAnsi="Century Gothic" w:cs="Arial"/>
        </w:rPr>
      </w:pPr>
    </w:p>
    <w:p w14:paraId="2ECFB5F0" w14:textId="77777777" w:rsidR="005D79F7" w:rsidRPr="00FA7341" w:rsidRDefault="005D79F7" w:rsidP="007369E7">
      <w:pPr>
        <w:pStyle w:val="Ttulo3"/>
        <w:widowControl w:val="0"/>
        <w:numPr>
          <w:ilvl w:val="2"/>
          <w:numId w:val="1"/>
        </w:numPr>
        <w:shd w:val="clear" w:color="auto" w:fill="002060"/>
        <w:autoSpaceDE w:val="0"/>
        <w:autoSpaceDN w:val="0"/>
        <w:spacing w:before="0" w:line="240" w:lineRule="auto"/>
        <w:rPr>
          <w:rFonts w:ascii="Century Gothic" w:hAnsi="Century Gothic" w:cs="Arial"/>
          <w:color w:val="FFFFFF"/>
        </w:rPr>
      </w:pPr>
      <w:bookmarkStart w:id="17" w:name="_Toc232673894"/>
      <w:r w:rsidRPr="00FA7341">
        <w:rPr>
          <w:rFonts w:ascii="Century Gothic" w:hAnsi="Century Gothic" w:cs="Arial"/>
          <w:color w:val="FFFFFF"/>
        </w:rPr>
        <w:t>OTROS ASPECTOS ECONÓMICOS</w:t>
      </w:r>
      <w:bookmarkEnd w:id="17"/>
    </w:p>
    <w:p w14:paraId="71837327" w14:textId="77777777" w:rsidR="005D79F7" w:rsidRPr="00FA7341" w:rsidRDefault="005D79F7" w:rsidP="007369E7">
      <w:pPr>
        <w:shd w:val="clear" w:color="auto" w:fill="FFFFFF"/>
        <w:spacing w:after="0"/>
        <w:jc w:val="both"/>
        <w:rPr>
          <w:rFonts w:ascii="Century Gothic" w:hAnsi="Century Gothic" w:cs="Arial"/>
        </w:rPr>
      </w:pPr>
    </w:p>
    <w:p w14:paraId="5AE59D7F" w14:textId="77777777" w:rsidR="005D79F7" w:rsidRPr="00FA7341" w:rsidRDefault="005D79F7" w:rsidP="007369E7">
      <w:pPr>
        <w:pStyle w:val="Ttulo4"/>
        <w:widowControl w:val="0"/>
        <w:numPr>
          <w:ilvl w:val="3"/>
          <w:numId w:val="1"/>
        </w:numPr>
        <w:shd w:val="clear" w:color="auto" w:fill="002060"/>
        <w:autoSpaceDE w:val="0"/>
        <w:autoSpaceDN w:val="0"/>
        <w:spacing w:before="0" w:line="240" w:lineRule="auto"/>
        <w:rPr>
          <w:rFonts w:ascii="Century Gothic" w:hAnsi="Century Gothic" w:cs="Arial"/>
          <w:b w:val="0"/>
          <w:i w:val="0"/>
          <w:color w:val="FFFFFF"/>
        </w:rPr>
      </w:pPr>
      <w:r w:rsidRPr="00FA7341">
        <w:rPr>
          <w:rFonts w:ascii="Century Gothic" w:hAnsi="Century Gothic" w:cs="Arial"/>
          <w:i w:val="0"/>
          <w:color w:val="FFFFFF"/>
        </w:rPr>
        <w:t>ACUERDO MARCO DE PRECIOS</w:t>
      </w:r>
    </w:p>
    <w:p w14:paraId="191104AA" w14:textId="06CAFB66" w:rsidR="005D79F7" w:rsidRPr="00FA7341" w:rsidRDefault="005D79F7" w:rsidP="007369E7">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En Colombia</w:t>
      </w:r>
      <w:r w:rsidR="00573371" w:rsidRPr="00FA7341">
        <w:rPr>
          <w:rFonts w:ascii="Century Gothic" w:eastAsia="Arial" w:hAnsi="Century Gothic" w:cs="Arial"/>
          <w:color w:val="000000"/>
        </w:rPr>
        <w:t>,</w:t>
      </w:r>
      <w:r w:rsidRPr="00FA7341">
        <w:rPr>
          <w:rFonts w:ascii="Century Gothic" w:eastAsia="Arial" w:hAnsi="Century Gothic" w:cs="Arial"/>
          <w:color w:val="000000"/>
        </w:rPr>
        <w:t xml:space="preserve"> </w:t>
      </w:r>
      <w:r w:rsidR="00573371" w:rsidRPr="00FA7341">
        <w:rPr>
          <w:rFonts w:ascii="Century Gothic" w:eastAsia="Arial" w:hAnsi="Century Gothic" w:cs="Arial"/>
          <w:color w:val="000000"/>
        </w:rPr>
        <w:t>los</w:t>
      </w:r>
      <w:r w:rsidRPr="00FA7341">
        <w:rPr>
          <w:rFonts w:ascii="Century Gothic" w:eastAsia="Arial" w:hAnsi="Century Gothic" w:cs="Arial"/>
          <w:color w:val="000000"/>
        </w:rPr>
        <w:t xml:space="preserve"> Acuerdo</w:t>
      </w:r>
      <w:r w:rsidR="00573371" w:rsidRPr="00FA7341">
        <w:rPr>
          <w:rFonts w:ascii="Century Gothic" w:eastAsia="Arial" w:hAnsi="Century Gothic" w:cs="Arial"/>
          <w:color w:val="000000"/>
        </w:rPr>
        <w:t>s</w:t>
      </w:r>
      <w:r w:rsidRPr="00FA7341">
        <w:rPr>
          <w:rFonts w:ascii="Century Gothic" w:eastAsia="Arial" w:hAnsi="Century Gothic" w:cs="Arial"/>
          <w:color w:val="000000"/>
        </w:rPr>
        <w:t xml:space="preserve"> Marco de Precio</w:t>
      </w:r>
      <w:r w:rsidR="00573371" w:rsidRPr="00FA7341">
        <w:rPr>
          <w:rFonts w:ascii="Century Gothic" w:eastAsia="Arial" w:hAnsi="Century Gothic" w:cs="Arial"/>
          <w:color w:val="000000"/>
        </w:rPr>
        <w:t>s</w:t>
      </w:r>
      <w:r w:rsidRPr="00FA7341">
        <w:rPr>
          <w:rFonts w:ascii="Century Gothic" w:eastAsia="Arial" w:hAnsi="Century Gothic" w:cs="Arial"/>
          <w:color w:val="000000"/>
        </w:rPr>
        <w:t xml:space="preserve"> (AMP) </w:t>
      </w:r>
      <w:r w:rsidR="00573371" w:rsidRPr="00FA7341">
        <w:rPr>
          <w:rFonts w:ascii="Century Gothic" w:eastAsia="Arial" w:hAnsi="Century Gothic" w:cs="Arial"/>
          <w:color w:val="000000"/>
        </w:rPr>
        <w:t xml:space="preserve">son </w:t>
      </w:r>
      <w:r w:rsidRPr="00FA7341">
        <w:rPr>
          <w:rFonts w:ascii="Century Gothic" w:eastAsia="Arial" w:hAnsi="Century Gothic" w:cs="Arial"/>
          <w:color w:val="000000"/>
        </w:rPr>
        <w:t>d</w:t>
      </w:r>
      <w:r w:rsidR="00855504" w:rsidRPr="00FA7341">
        <w:rPr>
          <w:rFonts w:ascii="Century Gothic" w:eastAsia="Arial" w:hAnsi="Century Gothic" w:cs="Arial"/>
          <w:color w:val="000000"/>
        </w:rPr>
        <w:t xml:space="preserve">iseñados y publicados por </w:t>
      </w:r>
      <w:r w:rsidR="00573371" w:rsidRPr="00FA7341">
        <w:rPr>
          <w:rFonts w:ascii="Century Gothic" w:eastAsia="Arial" w:hAnsi="Century Gothic" w:cs="Arial"/>
          <w:color w:val="000000"/>
        </w:rPr>
        <w:t xml:space="preserve">la Agencia Nacional de Contratación Pública - </w:t>
      </w:r>
      <w:r w:rsidRPr="00FA7341">
        <w:rPr>
          <w:rFonts w:ascii="Century Gothic" w:eastAsia="Arial" w:hAnsi="Century Gothic" w:cs="Arial"/>
          <w:color w:val="000000"/>
        </w:rPr>
        <w:t>Colombia Compra Eficiente</w:t>
      </w:r>
      <w:r w:rsidR="00573371" w:rsidRPr="00FA7341">
        <w:rPr>
          <w:rFonts w:ascii="Century Gothic" w:eastAsia="Arial" w:hAnsi="Century Gothic" w:cs="Arial"/>
          <w:color w:val="000000"/>
        </w:rPr>
        <w:t>. Este Mecanismo de Agregación de Demanda</w:t>
      </w:r>
      <w:r w:rsidRPr="00FA7341">
        <w:rPr>
          <w:rFonts w:ascii="Century Gothic" w:eastAsia="Arial" w:hAnsi="Century Gothic" w:cs="Arial"/>
          <w:color w:val="000000"/>
        </w:rPr>
        <w:t xml:space="preserve"> permite a las Entidades adquirir de manera ágil </w:t>
      </w:r>
      <w:r w:rsidR="00573371" w:rsidRPr="00FA7341">
        <w:rPr>
          <w:rFonts w:ascii="Century Gothic" w:eastAsia="Arial" w:hAnsi="Century Gothic" w:cs="Arial"/>
          <w:color w:val="000000"/>
        </w:rPr>
        <w:t xml:space="preserve">y eficiente </w:t>
      </w:r>
      <w:r w:rsidRPr="00FA7341">
        <w:rPr>
          <w:rFonts w:ascii="Century Gothic" w:eastAsia="Arial" w:hAnsi="Century Gothic" w:cs="Arial"/>
          <w:color w:val="000000"/>
        </w:rPr>
        <w:t>los Bienes y Servicios de Características Técnicas Uniformes</w:t>
      </w:r>
      <w:r w:rsidR="008719C7" w:rsidRPr="00FA7341">
        <w:rPr>
          <w:rFonts w:ascii="Century Gothic" w:eastAsia="Arial" w:hAnsi="Century Gothic" w:cs="Arial"/>
          <w:color w:val="000000"/>
        </w:rPr>
        <w:t xml:space="preserve"> y no Uniformes</w:t>
      </w:r>
      <w:r w:rsidR="00573371" w:rsidRPr="00FA7341">
        <w:rPr>
          <w:rFonts w:ascii="Century Gothic" w:eastAsia="Arial" w:hAnsi="Century Gothic" w:cs="Arial"/>
          <w:color w:val="000000"/>
        </w:rPr>
        <w:t xml:space="preserve"> de común utilización.</w:t>
      </w:r>
    </w:p>
    <w:p w14:paraId="3DC20995" w14:textId="77777777" w:rsidR="00466003" w:rsidRPr="00FA7341" w:rsidRDefault="00466003" w:rsidP="007369E7">
      <w:pPr>
        <w:tabs>
          <w:tab w:val="left" w:pos="142"/>
        </w:tabs>
        <w:spacing w:after="0" w:line="240" w:lineRule="auto"/>
        <w:jc w:val="both"/>
        <w:rPr>
          <w:rFonts w:ascii="Century Gothic" w:eastAsia="Arial" w:hAnsi="Century Gothic" w:cs="Arial"/>
          <w:color w:val="000000"/>
        </w:rPr>
      </w:pPr>
    </w:p>
    <w:p w14:paraId="503DE771" w14:textId="025A218C" w:rsidR="00B0219E" w:rsidRPr="00FA7341" w:rsidRDefault="00B0219E" w:rsidP="00B0219E">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lastRenderedPageBreak/>
        <w:t>Como resultado de dicho análisis realizado por el DAFPC, se estableció que los bienes requeridos —</w:t>
      </w:r>
      <w:r w:rsidR="000B3561" w:rsidRPr="00FA7341">
        <w:rPr>
          <w:rFonts w:ascii="Century Gothic" w:eastAsia="Arial" w:hAnsi="Century Gothic" w:cs="Arial"/>
          <w:color w:val="000000"/>
        </w:rPr>
        <w:t xml:space="preserve"> Bonos para la entrega de la dotación a los funcionarios de la gobernación de Cundinamarca sector central </w:t>
      </w:r>
      <w:r w:rsidRPr="00FA7341">
        <w:rPr>
          <w:rFonts w:ascii="Century Gothic" w:eastAsia="Arial" w:hAnsi="Century Gothic" w:cs="Arial"/>
          <w:color w:val="000000"/>
        </w:rPr>
        <w:t>— corresponden a elementos con características técnicas definidas y susceptibles de comparación objetiva, en la medida en que sus especificaciones han sido previamente determinadas por la entidad bajo criterios de calidad, funcionalidad, resistencia, visibilidad y durabilidad. Esta condición permite estructurar un proceso de selección en el que las ofertas puedan ser comparadas en igualdad de condiciones, privilegiando el factor económico como criterio determinante.</w:t>
      </w:r>
    </w:p>
    <w:p w14:paraId="756AF505" w14:textId="77777777" w:rsidR="000B3561" w:rsidRPr="00FA7341" w:rsidRDefault="000B3561" w:rsidP="00B0219E">
      <w:pPr>
        <w:tabs>
          <w:tab w:val="left" w:pos="142"/>
        </w:tabs>
        <w:spacing w:after="0" w:line="240" w:lineRule="auto"/>
        <w:jc w:val="both"/>
        <w:rPr>
          <w:rFonts w:ascii="Century Gothic" w:eastAsia="Arial" w:hAnsi="Century Gothic" w:cs="Arial"/>
          <w:color w:val="000000"/>
        </w:rPr>
      </w:pPr>
    </w:p>
    <w:p w14:paraId="71E4A87F" w14:textId="77777777" w:rsidR="00B0219E" w:rsidRPr="00FA7341" w:rsidRDefault="00B0219E" w:rsidP="00B0219E">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En este contexto, la subasta inversa se configura como el mecanismo más adecuado, en tanto permite la adquisición de bienes de características técnicas uniformes y de común utilización, mediante un procedimiento competitivo en el que los oferentes habilitados presentan lances sucesivos a la baja, con el fin de obtener la mejor oferta económica para la entidad, garantizando al mismo tiempo el cumplimiento de las condiciones técnicas exigidas.</w:t>
      </w:r>
    </w:p>
    <w:p w14:paraId="4FED6C92" w14:textId="77777777" w:rsidR="00454A27" w:rsidRPr="00FA7341" w:rsidRDefault="00454A27" w:rsidP="00B0219E">
      <w:pPr>
        <w:tabs>
          <w:tab w:val="left" w:pos="142"/>
        </w:tabs>
        <w:spacing w:after="0" w:line="240" w:lineRule="auto"/>
        <w:jc w:val="both"/>
        <w:rPr>
          <w:rFonts w:ascii="Century Gothic" w:eastAsia="Arial" w:hAnsi="Century Gothic" w:cs="Arial"/>
          <w:color w:val="000000"/>
        </w:rPr>
      </w:pPr>
    </w:p>
    <w:p w14:paraId="6C211728" w14:textId="77777777" w:rsidR="00B0219E" w:rsidRPr="00FA7341" w:rsidRDefault="00B0219E" w:rsidP="00B0219E">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Desde el punto de vista técnico, la utilización de la subasta inversa en el presente proceso resulta plenamente procedente, en la medida en que los bienes a contratar cuentan con especificaciones técnicas previamente definidas, claras y objetivas, que no requieren valoraciones subjetivas, en el cual, además, existe una pluralidad de proveedores en capacidad de ofrecer productos con características equivalentes. </w:t>
      </w:r>
    </w:p>
    <w:p w14:paraId="3A9F7DA8" w14:textId="77777777" w:rsidR="00454A27" w:rsidRPr="00FA7341" w:rsidRDefault="00454A27" w:rsidP="00B0219E">
      <w:pPr>
        <w:tabs>
          <w:tab w:val="left" w:pos="142"/>
        </w:tabs>
        <w:spacing w:after="0" w:line="240" w:lineRule="auto"/>
        <w:jc w:val="both"/>
        <w:rPr>
          <w:rFonts w:ascii="Century Gothic" w:eastAsia="Arial" w:hAnsi="Century Gothic" w:cs="Arial"/>
          <w:color w:val="000000"/>
        </w:rPr>
      </w:pPr>
    </w:p>
    <w:p w14:paraId="5A6AA83F" w14:textId="77777777" w:rsidR="00123E57" w:rsidRDefault="00B0219E" w:rsidP="00B0219E">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Desde la perspectiva económica, este mecanismo favorece la generación de competencia real entre los oferentes mediante la presentación de lances sucesivos a la baja, lo cual contribuye a la optimización de los recursos públicos, la obtención de condiciones más favorables de precio, la mitigación del riesgo de sobrecostos y el fortalecimiento de la eficiencia en el gasto público. A su vez, desde el punto de vista jurídico, la subasta inversa se encuentra debidamente habilitada por la normativa vigente como un mecanismo de selección objetiva dentro de la modalidad de selección abreviada, siendo aplicable a la adquisición de bienes de características técnicas uniformes, como ocurre en el presente caso. </w:t>
      </w:r>
    </w:p>
    <w:p w14:paraId="59226BC7" w14:textId="77777777" w:rsidR="00123E57" w:rsidRDefault="00123E57" w:rsidP="00B0219E">
      <w:pPr>
        <w:tabs>
          <w:tab w:val="left" w:pos="142"/>
        </w:tabs>
        <w:spacing w:after="0" w:line="240" w:lineRule="auto"/>
        <w:jc w:val="both"/>
        <w:rPr>
          <w:rFonts w:ascii="Century Gothic" w:eastAsia="Arial" w:hAnsi="Century Gothic" w:cs="Arial"/>
          <w:color w:val="000000"/>
        </w:rPr>
      </w:pPr>
    </w:p>
    <w:p w14:paraId="4C823FA8" w14:textId="48C56E39" w:rsidR="00B0219E" w:rsidRPr="00FA7341" w:rsidRDefault="00B0219E" w:rsidP="00B0219E">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En este sentido, su implementación no solo resulta jurídicamente viable, sino que además fortalece los principios que rigen la contratación estatal, particularmente la transparencia, al establecer reglas claras y verificables para todos los participantes; la selección objetiva, al fundamentar la escogencia en el menor precio que cumpla con las condiciones técnicas exigidas; la economía, al racionalizar tiempos y costos del proceso; y la pluralidad de oferentes, al incentivar la participación efectiva del mercado en condiciones de igualdad.</w:t>
      </w:r>
    </w:p>
    <w:p w14:paraId="2350F31F" w14:textId="77777777" w:rsidR="00454A27" w:rsidRPr="00FA7341" w:rsidRDefault="00454A27" w:rsidP="00B0219E">
      <w:pPr>
        <w:tabs>
          <w:tab w:val="left" w:pos="142"/>
        </w:tabs>
        <w:spacing w:after="0" w:line="240" w:lineRule="auto"/>
        <w:jc w:val="both"/>
        <w:rPr>
          <w:rFonts w:ascii="Century Gothic" w:eastAsia="Arial" w:hAnsi="Century Gothic" w:cs="Arial"/>
          <w:color w:val="000000"/>
        </w:rPr>
      </w:pPr>
    </w:p>
    <w:p w14:paraId="0A1F809D" w14:textId="2F00B40F" w:rsidR="00454A27" w:rsidRPr="00FA7341" w:rsidRDefault="00454A27" w:rsidP="007369E7">
      <w:pPr>
        <w:tabs>
          <w:tab w:val="left" w:pos="142"/>
        </w:tab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lastRenderedPageBreak/>
        <w:t xml:space="preserve">Es importante mencionar que una vez revisada la Tienda Virtual del estado </w:t>
      </w:r>
      <w:proofErr w:type="gramStart"/>
      <w:r w:rsidRPr="00FA7341">
        <w:rPr>
          <w:rFonts w:ascii="Century Gothic" w:eastAsia="Arial" w:hAnsi="Century Gothic" w:cs="Arial"/>
          <w:color w:val="000000"/>
        </w:rPr>
        <w:t>Colombiano</w:t>
      </w:r>
      <w:proofErr w:type="gramEnd"/>
      <w:r w:rsidRPr="00FA7341">
        <w:rPr>
          <w:rFonts w:ascii="Century Gothic" w:eastAsia="Arial" w:hAnsi="Century Gothic" w:cs="Arial"/>
          <w:color w:val="000000"/>
        </w:rPr>
        <w:t xml:space="preserve"> (TVEC), se estableció que existe actualmente el Acuerdo Marco CCE-SNG-AMP-007-2025-Proceso: CCENEG-078-01-2024 que tiene como fecha máxima para colocar órdenes de compra el 16 de mayo de 2027. Asimismo, consultada la bolsa mercantil de Colombia se identificó que existe un modelo de dotación de funcionarios, sin embargo, verificados los anexos técnicos, se estableció que los requerimientos téc</w:t>
      </w:r>
      <w:r w:rsidR="008D522D">
        <w:rPr>
          <w:rFonts w:ascii="Century Gothic" w:eastAsia="Arial" w:hAnsi="Century Gothic" w:cs="Arial"/>
          <w:color w:val="000000"/>
        </w:rPr>
        <w:t>nicos para el presente proceso</w:t>
      </w:r>
      <w:r w:rsidRPr="00FA7341">
        <w:rPr>
          <w:rFonts w:ascii="Century Gothic" w:eastAsia="Arial" w:hAnsi="Century Gothic" w:cs="Arial"/>
          <w:color w:val="000000"/>
        </w:rPr>
        <w:t xml:space="preserve"> no coinciden con la ficha técnica a contratar en el presente proceso de selección. En consecuencia, es viable adelantar el proceso de selección abreviada a través de subasta inversa.</w:t>
      </w:r>
    </w:p>
    <w:p w14:paraId="0E91C41E" w14:textId="77777777" w:rsidR="000F6521" w:rsidRPr="00FA7341" w:rsidRDefault="000F6521" w:rsidP="007369E7">
      <w:pPr>
        <w:tabs>
          <w:tab w:val="left" w:pos="142"/>
        </w:tabs>
        <w:spacing w:after="0" w:line="240" w:lineRule="auto"/>
        <w:jc w:val="both"/>
        <w:rPr>
          <w:rFonts w:ascii="Century Gothic" w:eastAsia="Arial" w:hAnsi="Century Gothic" w:cs="Arial"/>
          <w:b/>
          <w:bCs/>
          <w:color w:val="000000"/>
        </w:rPr>
      </w:pPr>
    </w:p>
    <w:p w14:paraId="02523D77" w14:textId="34CA7E36" w:rsidR="00125DDD" w:rsidRPr="00FA7341" w:rsidRDefault="005D79F7" w:rsidP="00286E87">
      <w:pPr>
        <w:pStyle w:val="Ttulo4"/>
        <w:widowControl w:val="0"/>
        <w:numPr>
          <w:ilvl w:val="3"/>
          <w:numId w:val="1"/>
        </w:numPr>
        <w:shd w:val="clear" w:color="auto" w:fill="002060"/>
        <w:autoSpaceDE w:val="0"/>
        <w:autoSpaceDN w:val="0"/>
        <w:spacing w:before="0" w:line="240" w:lineRule="auto"/>
        <w:rPr>
          <w:rFonts w:ascii="Century Gothic" w:hAnsi="Century Gothic" w:cs="Arial"/>
          <w:b w:val="0"/>
          <w:i w:val="0"/>
          <w:color w:val="FFFFFF"/>
        </w:rPr>
      </w:pPr>
      <w:r w:rsidRPr="00FA7341">
        <w:rPr>
          <w:rFonts w:ascii="Century Gothic" w:hAnsi="Century Gothic" w:cs="Arial"/>
          <w:i w:val="0"/>
          <w:noProof/>
          <w:color w:val="FFFFFF"/>
          <w:lang w:eastAsia="es-ES"/>
        </w:rPr>
        <w:t>MIPYMES (Aplica para la verificación de los criterios de desempate)</w:t>
      </w:r>
    </w:p>
    <w:p w14:paraId="4DD784D3" w14:textId="77777777" w:rsidR="008D522D" w:rsidRDefault="008D522D" w:rsidP="007369E7">
      <w:pPr>
        <w:spacing w:after="0"/>
        <w:jc w:val="both"/>
        <w:rPr>
          <w:rFonts w:ascii="Century Gothic" w:eastAsia="Arial" w:hAnsi="Century Gothic" w:cs="Arial"/>
          <w:color w:val="000000"/>
        </w:rPr>
      </w:pPr>
    </w:p>
    <w:p w14:paraId="280CA1AC" w14:textId="77889560"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color w:val="000000"/>
        </w:rPr>
        <w:t>En caso de desempate, se tendrá en cuenta la clasificación de MIPYME acreditada en el Registro Único de Proponentes (RUP).</w:t>
      </w:r>
    </w:p>
    <w:p w14:paraId="7E413AAD" w14:textId="77777777" w:rsidR="00286E87" w:rsidRPr="00FA7341" w:rsidRDefault="00286E87" w:rsidP="007369E7">
      <w:pPr>
        <w:spacing w:after="0"/>
        <w:jc w:val="both"/>
        <w:rPr>
          <w:rFonts w:ascii="Century Gothic" w:eastAsia="Arial" w:hAnsi="Century Gothic" w:cs="Arial"/>
          <w:color w:val="000000"/>
        </w:rPr>
      </w:pPr>
    </w:p>
    <w:p w14:paraId="07A31A1C"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color w:val="000000"/>
        </w:rPr>
        <w:t>Igualmente, para los Proponentes que no estén en la obligación de inscribirse en el RUP o que en el mismo no se encuentre la clasificación de tamaño empresarial, el proponente individual y todos y cada uno de los integrantes de los Consorcios o Uniones Temporales, deberán anexar certificación debidamente suscrita por la persona natural o contador para las personas naturales, y por el Representante Legal y revisor fiscal si la persona jurídica está obligada a tenerlo, o el auditor o contador público, en la cual acredite el tamaño empresarial de acuerdo con la definición legal y reglamentaria.</w:t>
      </w:r>
    </w:p>
    <w:p w14:paraId="4F385E28" w14:textId="77777777" w:rsidR="00286E87" w:rsidRPr="00FA7341" w:rsidRDefault="00286E87" w:rsidP="007369E7">
      <w:pPr>
        <w:spacing w:after="0"/>
        <w:jc w:val="both"/>
        <w:rPr>
          <w:rFonts w:ascii="Century Gothic" w:eastAsia="Arial" w:hAnsi="Century Gothic" w:cs="Arial"/>
          <w:color w:val="000000"/>
        </w:rPr>
      </w:pPr>
    </w:p>
    <w:p w14:paraId="172D4764"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color w:val="000000"/>
        </w:rPr>
        <w:t>El Decreto Nacional 957 del 05 de junio de 2019, emitido por el Ministerio de Comercio, Industria y Turismo, establece en el artículo 2.2.1.13.2.2 Rangos para la Definición del Tamaño Empresarial. Para efectos de la clasificación del tamaño empresarial se utilizarán, con base en el criterio previsto en el artículo anterior, los siguientes rangos para determinar el valor de los ingresos por actividades ordinarias anuales de acuerdo con el sector económico de que se trate:</w:t>
      </w:r>
    </w:p>
    <w:p w14:paraId="09302D7A" w14:textId="77777777" w:rsidR="00ED0253" w:rsidRPr="00FA7341" w:rsidRDefault="00ED0253" w:rsidP="007369E7">
      <w:pPr>
        <w:spacing w:after="0"/>
        <w:jc w:val="both"/>
        <w:rPr>
          <w:rFonts w:ascii="Century Gothic" w:eastAsia="Arial" w:hAnsi="Century Gothic" w:cs="Arial"/>
          <w:color w:val="000000"/>
        </w:rPr>
      </w:pPr>
    </w:p>
    <w:p w14:paraId="3F18890A" w14:textId="078568F0" w:rsidR="00125DDD" w:rsidRPr="00FA7341" w:rsidRDefault="00125DDD" w:rsidP="007369E7">
      <w:pPr>
        <w:pStyle w:val="Descripcin"/>
        <w:spacing w:after="0"/>
        <w:jc w:val="center"/>
        <w:rPr>
          <w:rFonts w:ascii="Century Gothic" w:hAnsi="Century Gothic" w:cs="Arial"/>
          <w:color w:val="0A2F41"/>
          <w:sz w:val="22"/>
          <w:szCs w:val="22"/>
        </w:rPr>
      </w:pPr>
      <w:bookmarkStart w:id="18" w:name="_Toc176251115"/>
      <w:bookmarkStart w:id="19" w:name="_Toc179188777"/>
      <w:bookmarkStart w:id="20" w:name="_Toc192773260"/>
      <w:r w:rsidRPr="00FA7341">
        <w:rPr>
          <w:rFonts w:ascii="Century Gothic" w:hAnsi="Century Gothic" w:cs="Arial"/>
          <w:color w:val="0A2F41"/>
          <w:sz w:val="22"/>
          <w:szCs w:val="22"/>
        </w:rPr>
        <w:t xml:space="preserve">Tabla </w:t>
      </w:r>
      <w:r w:rsidRPr="00FA7341">
        <w:rPr>
          <w:rFonts w:ascii="Century Gothic" w:hAnsi="Century Gothic" w:cs="Arial"/>
          <w:color w:val="0A2F41"/>
          <w:sz w:val="22"/>
          <w:szCs w:val="22"/>
        </w:rPr>
        <w:fldChar w:fldCharType="begin"/>
      </w:r>
      <w:r w:rsidRPr="00FA7341">
        <w:rPr>
          <w:rFonts w:ascii="Century Gothic" w:hAnsi="Century Gothic" w:cs="Arial"/>
          <w:color w:val="0A2F41"/>
          <w:sz w:val="22"/>
          <w:szCs w:val="22"/>
        </w:rPr>
        <w:instrText xml:space="preserve"> SEQ Tabla \* ARABIC </w:instrText>
      </w:r>
      <w:r w:rsidRPr="00FA7341">
        <w:rPr>
          <w:rFonts w:ascii="Century Gothic" w:hAnsi="Century Gothic" w:cs="Arial"/>
          <w:color w:val="0A2F41"/>
          <w:sz w:val="22"/>
          <w:szCs w:val="22"/>
        </w:rPr>
        <w:fldChar w:fldCharType="separate"/>
      </w:r>
      <w:r w:rsidR="00030ED5" w:rsidRPr="00FA7341">
        <w:rPr>
          <w:rFonts w:ascii="Century Gothic" w:hAnsi="Century Gothic" w:cs="Arial"/>
          <w:noProof/>
          <w:color w:val="0A2F41"/>
          <w:sz w:val="22"/>
          <w:szCs w:val="22"/>
        </w:rPr>
        <w:t>4</w:t>
      </w:r>
      <w:r w:rsidRPr="00FA7341">
        <w:rPr>
          <w:rFonts w:ascii="Century Gothic" w:hAnsi="Century Gothic" w:cs="Arial"/>
          <w:color w:val="0A2F41"/>
          <w:sz w:val="22"/>
          <w:szCs w:val="22"/>
        </w:rPr>
        <w:fldChar w:fldCharType="end"/>
      </w:r>
      <w:r w:rsidRPr="00FA7341">
        <w:rPr>
          <w:rFonts w:ascii="Century Gothic" w:hAnsi="Century Gothic" w:cs="Arial"/>
          <w:color w:val="0A2F41"/>
          <w:sz w:val="22"/>
          <w:szCs w:val="22"/>
        </w:rPr>
        <w:t xml:space="preserve"> Clasificación del tamaño empresarial</w:t>
      </w:r>
      <w:bookmarkEnd w:id="18"/>
      <w:bookmarkEnd w:id="19"/>
      <w:bookmarkEnd w:id="20"/>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902"/>
        <w:gridCol w:w="2173"/>
        <w:gridCol w:w="3125"/>
      </w:tblGrid>
      <w:tr w:rsidR="00125DDD" w:rsidRPr="00FA7341" w14:paraId="431E95F0" w14:textId="77777777" w:rsidTr="00ED0253">
        <w:trPr>
          <w:trHeight w:val="218"/>
        </w:trPr>
        <w:tc>
          <w:tcPr>
            <w:tcW w:w="1759" w:type="dxa"/>
            <w:shd w:val="clear" w:color="auto" w:fill="002060"/>
            <w:vAlign w:val="center"/>
          </w:tcPr>
          <w:p w14:paraId="2B4E29F0"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b/>
                <w:bCs/>
                <w:sz w:val="20"/>
                <w:szCs w:val="20"/>
                <w:lang w:val="es-ES"/>
              </w:rPr>
              <w:t>SECTOR</w:t>
            </w:r>
          </w:p>
        </w:tc>
        <w:tc>
          <w:tcPr>
            <w:tcW w:w="1902" w:type="dxa"/>
            <w:shd w:val="clear" w:color="auto" w:fill="002060"/>
            <w:vAlign w:val="center"/>
          </w:tcPr>
          <w:p w14:paraId="70ABA5D7"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b/>
                <w:bCs/>
                <w:sz w:val="20"/>
                <w:szCs w:val="20"/>
                <w:lang w:val="es-ES"/>
              </w:rPr>
              <w:t>MICRO</w:t>
            </w:r>
          </w:p>
        </w:tc>
        <w:tc>
          <w:tcPr>
            <w:tcW w:w="2173" w:type="dxa"/>
            <w:shd w:val="clear" w:color="auto" w:fill="002060"/>
            <w:vAlign w:val="center"/>
          </w:tcPr>
          <w:p w14:paraId="04061827"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b/>
                <w:bCs/>
                <w:sz w:val="20"/>
                <w:szCs w:val="20"/>
                <w:lang w:val="es-ES"/>
              </w:rPr>
              <w:t>PEQUEÑA</w:t>
            </w:r>
          </w:p>
        </w:tc>
        <w:tc>
          <w:tcPr>
            <w:tcW w:w="3125" w:type="dxa"/>
            <w:shd w:val="clear" w:color="auto" w:fill="002060"/>
            <w:vAlign w:val="center"/>
          </w:tcPr>
          <w:p w14:paraId="78D94AFC"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b/>
                <w:bCs/>
                <w:sz w:val="20"/>
                <w:szCs w:val="20"/>
                <w:lang w:val="es-ES"/>
              </w:rPr>
              <w:t>MEDIANA</w:t>
            </w:r>
          </w:p>
        </w:tc>
      </w:tr>
      <w:tr w:rsidR="00125DDD" w:rsidRPr="00FA7341" w14:paraId="3EAB427F" w14:textId="77777777" w:rsidTr="00ED0253">
        <w:trPr>
          <w:trHeight w:val="436"/>
        </w:trPr>
        <w:tc>
          <w:tcPr>
            <w:tcW w:w="1759" w:type="dxa"/>
            <w:vAlign w:val="center"/>
          </w:tcPr>
          <w:p w14:paraId="076B03B7"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sz w:val="20"/>
                <w:szCs w:val="20"/>
                <w:lang w:val="es-ES"/>
              </w:rPr>
              <w:t>Manufacturero</w:t>
            </w:r>
          </w:p>
        </w:tc>
        <w:tc>
          <w:tcPr>
            <w:tcW w:w="1902" w:type="dxa"/>
            <w:vAlign w:val="center"/>
          </w:tcPr>
          <w:p w14:paraId="2F7A29B2"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Inferior o igual a 23.563 UVT.</w:t>
            </w:r>
          </w:p>
        </w:tc>
        <w:tc>
          <w:tcPr>
            <w:tcW w:w="2173" w:type="dxa"/>
            <w:vAlign w:val="center"/>
          </w:tcPr>
          <w:p w14:paraId="7C9E5D90"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23.563 UVT e inferior o igual a 204.995 UVT.</w:t>
            </w:r>
          </w:p>
        </w:tc>
        <w:tc>
          <w:tcPr>
            <w:tcW w:w="3125" w:type="dxa"/>
            <w:vAlign w:val="center"/>
          </w:tcPr>
          <w:p w14:paraId="62785D97"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204.995 UVT e inferior o igual a 1’736.565 UVT.</w:t>
            </w:r>
          </w:p>
        </w:tc>
      </w:tr>
      <w:tr w:rsidR="00125DDD" w:rsidRPr="00FA7341" w14:paraId="56382A4A" w14:textId="77777777" w:rsidTr="00ED0253">
        <w:trPr>
          <w:trHeight w:val="436"/>
        </w:trPr>
        <w:tc>
          <w:tcPr>
            <w:tcW w:w="1759" w:type="dxa"/>
            <w:vAlign w:val="center"/>
          </w:tcPr>
          <w:p w14:paraId="4B22D768"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sz w:val="20"/>
                <w:szCs w:val="20"/>
                <w:lang w:val="pt-PT"/>
              </w:rPr>
              <w:t xml:space="preserve"> </w:t>
            </w:r>
            <w:r w:rsidRPr="00FA7341">
              <w:rPr>
                <w:rFonts w:ascii="Century Gothic" w:eastAsia="Arial" w:hAnsi="Century Gothic" w:cs="Arial"/>
                <w:sz w:val="20"/>
                <w:szCs w:val="20"/>
                <w:lang w:val="es-ES"/>
              </w:rPr>
              <w:t>Servicios</w:t>
            </w:r>
          </w:p>
        </w:tc>
        <w:tc>
          <w:tcPr>
            <w:tcW w:w="1902" w:type="dxa"/>
            <w:vAlign w:val="center"/>
          </w:tcPr>
          <w:p w14:paraId="12AE7F62"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Inferior o igual a 32.988 UVT.</w:t>
            </w:r>
          </w:p>
        </w:tc>
        <w:tc>
          <w:tcPr>
            <w:tcW w:w="2173" w:type="dxa"/>
            <w:vAlign w:val="center"/>
          </w:tcPr>
          <w:p w14:paraId="4B599AD5"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32.988 UVT e inferior o igual a 131.951 UVT.</w:t>
            </w:r>
          </w:p>
        </w:tc>
        <w:tc>
          <w:tcPr>
            <w:tcW w:w="3125" w:type="dxa"/>
            <w:vAlign w:val="center"/>
          </w:tcPr>
          <w:p w14:paraId="4795BB1D"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131.951 UVT e inferior o igual a 483.034 UVT.</w:t>
            </w:r>
          </w:p>
        </w:tc>
      </w:tr>
      <w:tr w:rsidR="00125DDD" w:rsidRPr="00FA7341" w14:paraId="4364154C" w14:textId="77777777" w:rsidTr="00ED0253">
        <w:trPr>
          <w:trHeight w:val="436"/>
        </w:trPr>
        <w:tc>
          <w:tcPr>
            <w:tcW w:w="1759" w:type="dxa"/>
            <w:vAlign w:val="center"/>
          </w:tcPr>
          <w:p w14:paraId="43BB4228"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sz w:val="20"/>
                <w:szCs w:val="20"/>
                <w:lang w:val="es-ES"/>
              </w:rPr>
              <w:lastRenderedPageBreak/>
              <w:t>Comercio</w:t>
            </w:r>
          </w:p>
        </w:tc>
        <w:tc>
          <w:tcPr>
            <w:tcW w:w="1902" w:type="dxa"/>
            <w:vAlign w:val="center"/>
          </w:tcPr>
          <w:p w14:paraId="01E5DA3E"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Inferior o igual a 44.769 UVT.</w:t>
            </w:r>
          </w:p>
        </w:tc>
        <w:tc>
          <w:tcPr>
            <w:tcW w:w="2173" w:type="dxa"/>
            <w:vAlign w:val="center"/>
          </w:tcPr>
          <w:p w14:paraId="69F22A9A"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44.769 e inferior o igual a</w:t>
            </w:r>
          </w:p>
          <w:p w14:paraId="0A594AFD" w14:textId="77777777" w:rsidR="00125DDD" w:rsidRPr="00FA7341" w:rsidRDefault="00125DDD" w:rsidP="007369E7">
            <w:pPr>
              <w:spacing w:after="0"/>
              <w:jc w:val="center"/>
              <w:rPr>
                <w:rFonts w:ascii="Century Gothic" w:eastAsia="Arial" w:hAnsi="Century Gothic" w:cs="Arial"/>
                <w:sz w:val="20"/>
                <w:szCs w:val="20"/>
              </w:rPr>
            </w:pPr>
            <w:r w:rsidRPr="00FA7341">
              <w:rPr>
                <w:rFonts w:ascii="Century Gothic" w:eastAsia="Arial" w:hAnsi="Century Gothic" w:cs="Arial"/>
                <w:sz w:val="20"/>
                <w:szCs w:val="20"/>
                <w:lang w:val="es-ES"/>
              </w:rPr>
              <w:t>431.196 UVT.</w:t>
            </w:r>
          </w:p>
        </w:tc>
        <w:tc>
          <w:tcPr>
            <w:tcW w:w="3125" w:type="dxa"/>
            <w:vAlign w:val="center"/>
          </w:tcPr>
          <w:p w14:paraId="1E9E8BC0" w14:textId="77777777" w:rsidR="00125DDD" w:rsidRPr="00FA7341" w:rsidRDefault="00125DDD" w:rsidP="007369E7">
            <w:pPr>
              <w:spacing w:after="0"/>
              <w:jc w:val="center"/>
              <w:rPr>
                <w:rFonts w:ascii="Century Gothic" w:eastAsia="Arial" w:hAnsi="Century Gothic" w:cs="Arial"/>
                <w:sz w:val="20"/>
                <w:szCs w:val="20"/>
                <w:lang w:val="pt-PT"/>
              </w:rPr>
            </w:pPr>
            <w:r w:rsidRPr="00FA7341">
              <w:rPr>
                <w:rFonts w:ascii="Century Gothic" w:eastAsia="Arial" w:hAnsi="Century Gothic" w:cs="Arial"/>
                <w:sz w:val="20"/>
                <w:szCs w:val="20"/>
                <w:lang w:val="pt-PT"/>
              </w:rPr>
              <w:t>Superior a 431.196 UVT e inferior o igual a 2’160.692 UVT.</w:t>
            </w:r>
          </w:p>
        </w:tc>
      </w:tr>
    </w:tbl>
    <w:p w14:paraId="7191E890" w14:textId="7033F0F7" w:rsidR="00125DDD" w:rsidRPr="00FA7341" w:rsidRDefault="00125DDD" w:rsidP="007369E7">
      <w:pPr>
        <w:spacing w:after="0"/>
        <w:jc w:val="center"/>
        <w:rPr>
          <w:rFonts w:ascii="Century Gothic" w:hAnsi="Century Gothic" w:cs="Arial"/>
          <w:bCs/>
          <w:i/>
          <w:iCs/>
          <w:color w:val="000000"/>
        </w:rPr>
      </w:pPr>
      <w:r w:rsidRPr="00FA7341">
        <w:rPr>
          <w:rFonts w:ascii="Century Gothic" w:hAnsi="Century Gothic" w:cs="Arial"/>
          <w:bCs/>
          <w:i/>
          <w:iCs/>
          <w:color w:val="000000"/>
        </w:rPr>
        <w:t xml:space="preserve">Fuente: elaboración propia </w:t>
      </w:r>
      <w:r w:rsidR="00ED4E1B" w:rsidRPr="00FA7341">
        <w:rPr>
          <w:rFonts w:ascii="Century Gothic" w:hAnsi="Century Gothic" w:cs="Arial"/>
          <w:bCs/>
          <w:i/>
          <w:iCs/>
          <w:color w:val="000000"/>
        </w:rPr>
        <w:t xml:space="preserve">(Departamento </w:t>
      </w:r>
      <w:r w:rsidR="007E35FC" w:rsidRPr="00FA7341">
        <w:rPr>
          <w:rFonts w:ascii="Century Gothic" w:hAnsi="Century Gothic" w:cs="Arial"/>
          <w:bCs/>
          <w:i/>
          <w:iCs/>
          <w:color w:val="000000"/>
        </w:rPr>
        <w:t>de Cundinamarca</w:t>
      </w:r>
      <w:r w:rsidRPr="00FA7341">
        <w:rPr>
          <w:rFonts w:ascii="Century Gothic" w:hAnsi="Century Gothic" w:cs="Arial"/>
          <w:bCs/>
          <w:i/>
          <w:iCs/>
          <w:color w:val="000000"/>
        </w:rPr>
        <w:t>)</w:t>
      </w:r>
    </w:p>
    <w:p w14:paraId="1A40563C" w14:textId="77777777" w:rsidR="00286E87" w:rsidRPr="00FA7341" w:rsidRDefault="00286E87" w:rsidP="007369E7">
      <w:pPr>
        <w:spacing w:after="0"/>
        <w:jc w:val="both"/>
        <w:rPr>
          <w:rFonts w:ascii="Century Gothic" w:eastAsia="Arial" w:hAnsi="Century Gothic" w:cs="Arial"/>
          <w:color w:val="000000"/>
        </w:rPr>
      </w:pPr>
    </w:p>
    <w:p w14:paraId="0593C1FE" w14:textId="12E29A26" w:rsidR="00125DDD" w:rsidRPr="00FA7341" w:rsidRDefault="00125DDD" w:rsidP="007369E7">
      <w:pPr>
        <w:spacing w:after="0"/>
        <w:jc w:val="both"/>
        <w:rPr>
          <w:rFonts w:ascii="Century Gothic" w:eastAsia="Arial" w:hAnsi="Century Gothic" w:cs="Arial"/>
          <w:i/>
          <w:iCs/>
          <w:color w:val="000000"/>
        </w:rPr>
      </w:pPr>
      <w:r w:rsidRPr="00FA7341">
        <w:rPr>
          <w:rFonts w:ascii="Century Gothic" w:eastAsia="Arial" w:hAnsi="Century Gothic" w:cs="Arial"/>
          <w:color w:val="000000"/>
        </w:rPr>
        <w:t>En cumplimiento de lo señalado en el artículo 2.2.1.2.4.2.18. del decreto 1860 de</w:t>
      </w:r>
      <w:r w:rsidR="00ED0253" w:rsidRPr="00FA7341">
        <w:rPr>
          <w:rFonts w:ascii="Century Gothic" w:eastAsia="Arial" w:hAnsi="Century Gothic" w:cs="Arial"/>
          <w:color w:val="000000"/>
        </w:rPr>
        <w:t xml:space="preserve"> </w:t>
      </w:r>
      <w:r w:rsidRPr="00FA7341">
        <w:rPr>
          <w:rFonts w:ascii="Century Gothic" w:eastAsia="Arial" w:hAnsi="Century Gothic" w:cs="Arial"/>
          <w:color w:val="000000"/>
        </w:rPr>
        <w:t xml:space="preserve">2021 que dispone los criterios diferenciales para </w:t>
      </w:r>
      <w:proofErr w:type="spellStart"/>
      <w:r w:rsidRPr="00FA7341">
        <w:rPr>
          <w:rFonts w:ascii="Century Gothic" w:eastAsia="Arial" w:hAnsi="Century Gothic" w:cs="Arial"/>
          <w:color w:val="000000"/>
        </w:rPr>
        <w:t>Mipyme</w:t>
      </w:r>
      <w:proofErr w:type="spellEnd"/>
      <w:r w:rsidRPr="00FA7341">
        <w:rPr>
          <w:rFonts w:ascii="Century Gothic" w:eastAsia="Arial" w:hAnsi="Century Gothic" w:cs="Arial"/>
          <w:color w:val="000000"/>
        </w:rPr>
        <w:t xml:space="preserve"> en el sistema de compras públicas. “</w:t>
      </w:r>
      <w:r w:rsidRPr="00FA7341">
        <w:rPr>
          <w:rFonts w:ascii="Century Gothic" w:eastAsia="Arial" w:hAnsi="Century Gothic" w:cs="Arial"/>
          <w:i/>
          <w:iCs/>
          <w:color w:val="000000"/>
        </w:rPr>
        <w:t xml:space="preserve">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w:t>
      </w:r>
      <w:proofErr w:type="spellStart"/>
      <w:r w:rsidRPr="00FA7341">
        <w:rPr>
          <w:rFonts w:ascii="Century Gothic" w:eastAsia="Arial" w:hAnsi="Century Gothic" w:cs="Arial"/>
          <w:i/>
          <w:iCs/>
          <w:color w:val="000000"/>
        </w:rPr>
        <w:t>Mipyme</w:t>
      </w:r>
      <w:proofErr w:type="spellEnd"/>
      <w:r w:rsidRPr="00FA7341">
        <w:rPr>
          <w:rFonts w:ascii="Century Gothic" w:eastAsia="Arial" w:hAnsi="Century Gothic" w:cs="Arial"/>
          <w:i/>
          <w:iCs/>
          <w:color w:val="000000"/>
        </w:rPr>
        <w:t xml:space="preserve"> domiciliadas en Colombia. Para el efecto, en función de los criterios de clasificación empresarial, los Documentos del Proceso deberán incorporar requisitos habilitantes diferenciales relacionados con alguno o algunos de los siguientes aspectos: </w:t>
      </w:r>
    </w:p>
    <w:p w14:paraId="1085F37C"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i/>
          <w:iCs/>
          <w:color w:val="000000"/>
        </w:rPr>
        <w:t xml:space="preserve">1. Tiempo de experiencia. </w:t>
      </w:r>
    </w:p>
    <w:p w14:paraId="7DDA9716"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i/>
          <w:iCs/>
          <w:color w:val="000000"/>
        </w:rPr>
        <w:t xml:space="preserve">2. Número de contratos para la acreditación de la experiencia. </w:t>
      </w:r>
    </w:p>
    <w:p w14:paraId="45E32C4A"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i/>
          <w:iCs/>
          <w:color w:val="000000"/>
        </w:rPr>
        <w:t xml:space="preserve">3. Índices de capacidad financiera. </w:t>
      </w:r>
    </w:p>
    <w:p w14:paraId="3726F21E"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i/>
          <w:iCs/>
          <w:color w:val="000000"/>
        </w:rPr>
        <w:t xml:space="preserve">4. Índices de capacidad organizacional. </w:t>
      </w:r>
    </w:p>
    <w:p w14:paraId="6C233D91" w14:textId="77777777" w:rsidR="00125DDD"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i/>
          <w:iCs/>
          <w:color w:val="000000"/>
        </w:rPr>
        <w:t xml:space="preserve">5. Valor de la garantía de seriedad de la oferta. </w:t>
      </w:r>
    </w:p>
    <w:p w14:paraId="622DC150" w14:textId="77777777" w:rsidR="00286E87" w:rsidRPr="00FA7341" w:rsidRDefault="00286E87" w:rsidP="007369E7">
      <w:pPr>
        <w:spacing w:after="0"/>
        <w:jc w:val="both"/>
        <w:rPr>
          <w:rFonts w:ascii="Century Gothic" w:eastAsia="Arial" w:hAnsi="Century Gothic" w:cs="Arial"/>
          <w:iCs/>
          <w:color w:val="000000"/>
        </w:rPr>
      </w:pPr>
    </w:p>
    <w:p w14:paraId="1EFDC742" w14:textId="3FCACD2B" w:rsidR="00125DDD" w:rsidRPr="00FA7341" w:rsidRDefault="00125DDD" w:rsidP="007369E7">
      <w:pPr>
        <w:spacing w:after="0"/>
        <w:jc w:val="both"/>
        <w:rPr>
          <w:rFonts w:ascii="Century Gothic" w:eastAsia="Arial" w:hAnsi="Century Gothic" w:cs="Arial"/>
          <w:iCs/>
          <w:color w:val="000000"/>
        </w:rPr>
      </w:pPr>
      <w:r w:rsidRPr="00FA7341">
        <w:rPr>
          <w:rFonts w:ascii="Century Gothic" w:eastAsia="Arial" w:hAnsi="Century Gothic" w:cs="Arial"/>
          <w:iCs/>
          <w:color w:val="000000"/>
        </w:rPr>
        <w:t xml:space="preserve">Los requisitos mencionados deberán fijarse respetando las condiciones habilitantes requeridas para el cumplimiento adecuado del contrato, teniendo en cuenta el alcance de las obligaciones. En desarrollo de lo anterior, con la finalidad de beneficiar a las </w:t>
      </w:r>
      <w:proofErr w:type="spellStart"/>
      <w:r w:rsidRPr="00FA7341">
        <w:rPr>
          <w:rFonts w:ascii="Century Gothic" w:eastAsia="Arial" w:hAnsi="Century Gothic" w:cs="Arial"/>
          <w:iCs/>
          <w:color w:val="000000"/>
        </w:rPr>
        <w:t>Mipyme</w:t>
      </w:r>
      <w:proofErr w:type="spellEnd"/>
      <w:r w:rsidRPr="00FA7341">
        <w:rPr>
          <w:rFonts w:ascii="Century Gothic" w:eastAsia="Arial" w:hAnsi="Century Gothic" w:cs="Arial"/>
          <w:iCs/>
          <w:color w:val="000000"/>
        </w:rPr>
        <w:t xml:space="preserve">, se establecerán condiciones más exigentes respecto a alguno o algunos de los criterios de participación antes enunciados frente a los demás proponentes que concurran al procedimiento de selección que no sean </w:t>
      </w:r>
      <w:proofErr w:type="spellStart"/>
      <w:r w:rsidRPr="00FA7341">
        <w:rPr>
          <w:rFonts w:ascii="Century Gothic" w:eastAsia="Arial" w:hAnsi="Century Gothic" w:cs="Arial"/>
          <w:iCs/>
          <w:color w:val="000000"/>
        </w:rPr>
        <w:t>Mipyme</w:t>
      </w:r>
      <w:proofErr w:type="spellEnd"/>
      <w:r w:rsidRPr="00FA7341">
        <w:rPr>
          <w:rFonts w:ascii="Century Gothic" w:eastAsia="Arial" w:hAnsi="Century Gothic" w:cs="Arial"/>
          <w:iCs/>
          <w:color w:val="000000"/>
        </w:rPr>
        <w:t xml:space="preserve"> (…)”</w:t>
      </w:r>
    </w:p>
    <w:p w14:paraId="71A771EF" w14:textId="77777777" w:rsidR="00286E87" w:rsidRPr="00FA7341" w:rsidRDefault="00286E87" w:rsidP="007369E7">
      <w:pPr>
        <w:spacing w:after="0"/>
        <w:jc w:val="both"/>
        <w:rPr>
          <w:rFonts w:ascii="Century Gothic" w:eastAsia="Arial" w:hAnsi="Century Gothic" w:cs="Arial"/>
          <w:iCs/>
          <w:color w:val="000000"/>
        </w:rPr>
      </w:pPr>
    </w:p>
    <w:p w14:paraId="08D1F1E4" w14:textId="77777777" w:rsidR="00125DDD" w:rsidRPr="00FA7341" w:rsidRDefault="00125DDD" w:rsidP="007369E7">
      <w:pPr>
        <w:pStyle w:val="Ttulo3"/>
        <w:numPr>
          <w:ilvl w:val="1"/>
          <w:numId w:val="1"/>
        </w:numPr>
        <w:pBdr>
          <w:top w:val="single" w:sz="4" w:space="1" w:color="auto"/>
          <w:left w:val="single" w:sz="4" w:space="4" w:color="auto"/>
          <w:bottom w:val="single" w:sz="4" w:space="1" w:color="auto"/>
          <w:right w:val="single" w:sz="4" w:space="4" w:color="auto"/>
        </w:pBdr>
        <w:shd w:val="clear" w:color="auto" w:fill="002060"/>
        <w:spacing w:before="0"/>
        <w:ind w:left="720" w:hanging="720"/>
        <w:contextualSpacing/>
        <w:rPr>
          <w:rFonts w:ascii="Century Gothic" w:hAnsi="Century Gothic" w:cs="Arial"/>
          <w:noProof/>
          <w:color w:val="FFFFFF"/>
          <w:lang w:val="es-ES" w:eastAsia="es-ES"/>
        </w:rPr>
      </w:pPr>
      <w:bookmarkStart w:id="21" w:name="_Toc176618198"/>
      <w:bookmarkStart w:id="22" w:name="_Toc179188716"/>
      <w:bookmarkStart w:id="23" w:name="_Toc232673895"/>
      <w:r w:rsidRPr="00FA7341">
        <w:rPr>
          <w:rFonts w:ascii="Century Gothic" w:hAnsi="Century Gothic" w:cs="Arial"/>
          <w:noProof/>
          <w:color w:val="FFFFFF"/>
          <w:lang w:val="es-ES" w:eastAsia="es-ES"/>
        </w:rPr>
        <w:t>CRITERIOS DIFERENCIALES PARA EMPRENDIMIENTO Y EMPRESAS DE MUJERES</w:t>
      </w:r>
      <w:bookmarkEnd w:id="21"/>
      <w:bookmarkEnd w:id="22"/>
      <w:bookmarkEnd w:id="23"/>
    </w:p>
    <w:p w14:paraId="7939732B" w14:textId="77777777" w:rsidR="00125DDD" w:rsidRPr="00FA7341" w:rsidRDefault="00125DDD" w:rsidP="007369E7">
      <w:pPr>
        <w:spacing w:after="0"/>
        <w:rPr>
          <w:rFonts w:ascii="Century Gothic" w:hAnsi="Century Gothic" w:cs="Arial"/>
          <w:color w:val="000000" w:themeColor="text1"/>
        </w:rPr>
      </w:pPr>
    </w:p>
    <w:p w14:paraId="56BE65D5" w14:textId="1A6BB9D7" w:rsidR="00BA388C" w:rsidRPr="00FA7341" w:rsidRDefault="00BA388C" w:rsidP="00BA388C">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 xml:space="preserve">Dando aplicación al DECRETO 1860 DEL 2021, de conformidad con lo señalado en el ARTÍCULO 2.2.1.2.4.2.18. el cual señala " (. </w:t>
      </w:r>
      <w:proofErr w:type="gramStart"/>
      <w:r w:rsidRPr="00FA7341">
        <w:rPr>
          <w:rFonts w:ascii="Century Gothic" w:eastAsia="Arial" w:hAnsi="Century Gothic" w:cs="Arial"/>
          <w:color w:val="000000" w:themeColor="text1"/>
        </w:rPr>
        <w:t>..</w:t>
      </w:r>
      <w:proofErr w:type="gramEnd"/>
      <w:r w:rsidRPr="00FA7341">
        <w:rPr>
          <w:rFonts w:ascii="Century Gothic" w:eastAsia="Arial" w:hAnsi="Century Gothic" w:cs="Arial"/>
          <w:color w:val="000000" w:themeColor="text1"/>
        </w:rPr>
        <w:t xml:space="preserve">)De acuerdo con el numeral J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w:t>
      </w:r>
      <w:r w:rsidRPr="00FA7341">
        <w:rPr>
          <w:rFonts w:ascii="Century Gothic" w:eastAsia="Arial" w:hAnsi="Century Gothic" w:cs="Arial"/>
          <w:color w:val="000000" w:themeColor="text1"/>
        </w:rPr>
        <w:lastRenderedPageBreak/>
        <w:t xml:space="preserve">competitivos de las MiPymes domiciliadas en Colombia. Para el efecto, en función de los criterios de clasificación empresarial, los Documentos del Proceso deberán incorporar requisitos habilitantes diferenciales relacionados con alguno o algunos de los siguientes </w:t>
      </w:r>
      <w:proofErr w:type="gramStart"/>
      <w:r w:rsidRPr="00FA7341">
        <w:rPr>
          <w:rFonts w:ascii="Century Gothic" w:eastAsia="Arial" w:hAnsi="Century Gothic" w:cs="Arial"/>
          <w:color w:val="000000" w:themeColor="text1"/>
        </w:rPr>
        <w:t>aspectos( ..</w:t>
      </w:r>
      <w:proofErr w:type="gramEnd"/>
      <w:r w:rsidRPr="00FA7341">
        <w:rPr>
          <w:rFonts w:ascii="Century Gothic" w:eastAsia="Arial" w:hAnsi="Century Gothic" w:cs="Arial"/>
          <w:color w:val="000000" w:themeColor="text1"/>
        </w:rPr>
        <w:t xml:space="preserve"> .)".</w:t>
      </w:r>
    </w:p>
    <w:p w14:paraId="38D61697" w14:textId="77777777" w:rsidR="00BA388C" w:rsidRPr="00FA7341" w:rsidRDefault="00BA388C" w:rsidP="00BA388C">
      <w:pPr>
        <w:spacing w:after="0"/>
        <w:jc w:val="both"/>
        <w:rPr>
          <w:rFonts w:ascii="Century Gothic" w:eastAsia="Arial" w:hAnsi="Century Gothic" w:cs="Arial"/>
          <w:color w:val="000000" w:themeColor="text1"/>
        </w:rPr>
      </w:pPr>
    </w:p>
    <w:p w14:paraId="61557BB0" w14:textId="557A47DE" w:rsidR="00BA388C" w:rsidRPr="00FA7341" w:rsidRDefault="00BA388C" w:rsidP="00BA388C">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NOTA 1: Quien acredite la condición establecida para e</w:t>
      </w:r>
      <w:r w:rsidR="00A172AF" w:rsidRPr="00FA7341">
        <w:rPr>
          <w:rFonts w:ascii="Century Gothic" w:eastAsia="Arial" w:hAnsi="Century Gothic" w:cs="Arial"/>
          <w:color w:val="000000" w:themeColor="text1"/>
        </w:rPr>
        <w:t>l</w:t>
      </w:r>
      <w:r w:rsidRPr="00FA7341">
        <w:rPr>
          <w:rFonts w:ascii="Century Gothic" w:eastAsia="Arial" w:hAnsi="Century Gothic" w:cs="Arial"/>
          <w:color w:val="000000" w:themeColor="text1"/>
        </w:rPr>
        <w:t xml:space="preserve"> presente proceso deberán acreditar mediante relación suscrita por el Representante Legal ANEXO EXPERIENCIA, conforme a las certificaciones de contratos que estén registrados en el RUP donde acrediten su experiencia y cuyo objeto sea igual o similar al de la futura contratación, ejecutadas con entidades públicas o privadas, conforme a la siguiente tabla. </w:t>
      </w:r>
      <w:r w:rsidRPr="00FA7341">
        <w:rPr>
          <w:rFonts w:ascii="Century Gothic" w:eastAsia="Arial" w:hAnsi="Century Gothic" w:cs="Arial"/>
          <w:i/>
          <w:iCs/>
          <w:color w:val="000000" w:themeColor="text1"/>
        </w:rPr>
        <w:t>(No se aceptan auto certificaciones).</w:t>
      </w:r>
    </w:p>
    <w:p w14:paraId="0087C45C" w14:textId="4A893318" w:rsidR="00BA388C" w:rsidRPr="00FA7341" w:rsidRDefault="00BA388C" w:rsidP="00BA388C">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 xml:space="preserve"> </w:t>
      </w:r>
    </w:p>
    <w:tbl>
      <w:tblPr>
        <w:tblW w:w="8992" w:type="dxa"/>
        <w:tblInd w:w="75" w:type="dxa"/>
        <w:tblCellMar>
          <w:left w:w="70" w:type="dxa"/>
          <w:right w:w="70" w:type="dxa"/>
        </w:tblCellMar>
        <w:tblLook w:val="04A0" w:firstRow="1" w:lastRow="0" w:firstColumn="1" w:lastColumn="0" w:noHBand="0" w:noVBand="1"/>
      </w:tblPr>
      <w:tblGrid>
        <w:gridCol w:w="5009"/>
        <w:gridCol w:w="3983"/>
      </w:tblGrid>
      <w:tr w:rsidR="002E6A8A" w:rsidRPr="00FA7341" w14:paraId="5D74A7E0" w14:textId="77777777" w:rsidTr="00B40200">
        <w:trPr>
          <w:trHeight w:val="921"/>
        </w:trPr>
        <w:tc>
          <w:tcPr>
            <w:tcW w:w="5009" w:type="dxa"/>
            <w:tcBorders>
              <w:top w:val="single" w:sz="4" w:space="0" w:color="auto"/>
              <w:left w:val="single" w:sz="4" w:space="0" w:color="auto"/>
              <w:bottom w:val="single" w:sz="4" w:space="0" w:color="auto"/>
              <w:right w:val="single" w:sz="4" w:space="0" w:color="auto"/>
            </w:tcBorders>
            <w:noWrap/>
            <w:vAlign w:val="center"/>
            <w:hideMark/>
          </w:tcPr>
          <w:p w14:paraId="1D49416E" w14:textId="77777777" w:rsidR="002E6A8A" w:rsidRPr="00FA7341" w:rsidRDefault="002E6A8A" w:rsidP="002E6A8A">
            <w:pPr>
              <w:spacing w:after="0"/>
              <w:jc w:val="both"/>
              <w:rPr>
                <w:rFonts w:ascii="Century Gothic" w:eastAsia="Arial" w:hAnsi="Century Gothic" w:cs="Arial"/>
                <w:b/>
                <w:color w:val="000000" w:themeColor="text1"/>
              </w:rPr>
            </w:pPr>
            <w:proofErr w:type="gramStart"/>
            <w:r w:rsidRPr="00FA7341">
              <w:rPr>
                <w:rFonts w:ascii="Century Gothic" w:eastAsia="Arial" w:hAnsi="Century Gothic" w:cs="Arial"/>
                <w:b/>
                <w:color w:val="000000" w:themeColor="text1"/>
              </w:rPr>
              <w:t>PORCENTAJE A CERTIFICAR</w:t>
            </w:r>
            <w:proofErr w:type="gramEnd"/>
            <w:r w:rsidRPr="00FA7341">
              <w:rPr>
                <w:rFonts w:ascii="Century Gothic" w:eastAsia="Arial" w:hAnsi="Century Gothic" w:cs="Arial"/>
                <w:b/>
                <w:color w:val="000000" w:themeColor="text1"/>
              </w:rPr>
              <w:t xml:space="preserve"> RESPECTO AL PRESUPUESTO OFICIAL </w:t>
            </w:r>
          </w:p>
        </w:tc>
        <w:tc>
          <w:tcPr>
            <w:tcW w:w="3983" w:type="dxa"/>
            <w:tcBorders>
              <w:top w:val="single" w:sz="4" w:space="0" w:color="auto"/>
              <w:left w:val="nil"/>
              <w:bottom w:val="single" w:sz="4" w:space="0" w:color="auto"/>
              <w:right w:val="single" w:sz="4" w:space="0" w:color="auto"/>
            </w:tcBorders>
            <w:noWrap/>
            <w:vAlign w:val="center"/>
            <w:hideMark/>
          </w:tcPr>
          <w:p w14:paraId="1E5FD4D5" w14:textId="77777777" w:rsidR="002E6A8A" w:rsidRPr="00FA7341" w:rsidRDefault="002E6A8A" w:rsidP="002E6A8A">
            <w:pPr>
              <w:spacing w:after="0"/>
              <w:jc w:val="both"/>
              <w:rPr>
                <w:rFonts w:ascii="Century Gothic" w:eastAsia="Arial" w:hAnsi="Century Gothic" w:cs="Arial"/>
                <w:b/>
                <w:color w:val="000000" w:themeColor="text1"/>
              </w:rPr>
            </w:pPr>
            <w:r w:rsidRPr="00FA7341">
              <w:rPr>
                <w:rFonts w:ascii="Century Gothic" w:eastAsia="Arial" w:hAnsi="Century Gothic" w:cs="Arial"/>
                <w:b/>
                <w:color w:val="000000" w:themeColor="text1"/>
              </w:rPr>
              <w:t xml:space="preserve">NÚMERO DE CONTRATOS PARA LA APLICACIÓN DE LOS CRITERIOS DIFERENCIALES </w:t>
            </w:r>
            <w:proofErr w:type="gramStart"/>
            <w:r w:rsidRPr="00FA7341">
              <w:rPr>
                <w:rFonts w:ascii="Century Gothic" w:eastAsia="Arial" w:hAnsi="Century Gothic" w:cs="Arial"/>
                <w:b/>
                <w:color w:val="000000" w:themeColor="text1"/>
              </w:rPr>
              <w:t>( MIPYMES</w:t>
            </w:r>
            <w:proofErr w:type="gramEnd"/>
            <w:r w:rsidRPr="00FA7341">
              <w:rPr>
                <w:rFonts w:ascii="Century Gothic" w:eastAsia="Arial" w:hAnsi="Century Gothic" w:cs="Arial"/>
                <w:b/>
                <w:color w:val="000000" w:themeColor="text1"/>
              </w:rPr>
              <w:t xml:space="preserve"> Y EMPREDIMIENTOS O EMPRESAS DE MUJERES)</w:t>
            </w:r>
          </w:p>
        </w:tc>
      </w:tr>
      <w:tr w:rsidR="002E6A8A" w:rsidRPr="00FA7341" w14:paraId="24297F77" w14:textId="77777777" w:rsidTr="00B40200">
        <w:trPr>
          <w:trHeight w:val="378"/>
        </w:trPr>
        <w:tc>
          <w:tcPr>
            <w:tcW w:w="5009" w:type="dxa"/>
            <w:tcBorders>
              <w:top w:val="nil"/>
              <w:left w:val="single" w:sz="4" w:space="0" w:color="auto"/>
              <w:bottom w:val="single" w:sz="4" w:space="0" w:color="auto"/>
              <w:right w:val="single" w:sz="4" w:space="0" w:color="auto"/>
            </w:tcBorders>
            <w:vAlign w:val="center"/>
          </w:tcPr>
          <w:p w14:paraId="5F591490"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75%</w:t>
            </w:r>
          </w:p>
        </w:tc>
        <w:tc>
          <w:tcPr>
            <w:tcW w:w="3983" w:type="dxa"/>
            <w:tcBorders>
              <w:top w:val="nil"/>
              <w:left w:val="nil"/>
              <w:bottom w:val="single" w:sz="4" w:space="0" w:color="auto"/>
              <w:right w:val="single" w:sz="4" w:space="0" w:color="auto"/>
            </w:tcBorders>
            <w:noWrap/>
            <w:vAlign w:val="center"/>
          </w:tcPr>
          <w:p w14:paraId="7776D07F"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1-3</w:t>
            </w:r>
          </w:p>
        </w:tc>
      </w:tr>
      <w:tr w:rsidR="002E6A8A" w:rsidRPr="00FA7341" w14:paraId="550493DF" w14:textId="77777777" w:rsidTr="00B40200">
        <w:trPr>
          <w:trHeight w:val="294"/>
        </w:trPr>
        <w:tc>
          <w:tcPr>
            <w:tcW w:w="5009" w:type="dxa"/>
            <w:tcBorders>
              <w:top w:val="nil"/>
              <w:left w:val="single" w:sz="4" w:space="0" w:color="auto"/>
              <w:bottom w:val="single" w:sz="4" w:space="0" w:color="auto"/>
              <w:right w:val="single" w:sz="4" w:space="0" w:color="auto"/>
            </w:tcBorders>
            <w:vAlign w:val="center"/>
          </w:tcPr>
          <w:p w14:paraId="670BBE49"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100%</w:t>
            </w:r>
          </w:p>
        </w:tc>
        <w:tc>
          <w:tcPr>
            <w:tcW w:w="3983" w:type="dxa"/>
            <w:tcBorders>
              <w:top w:val="nil"/>
              <w:left w:val="nil"/>
              <w:bottom w:val="single" w:sz="4" w:space="0" w:color="auto"/>
              <w:right w:val="single" w:sz="4" w:space="0" w:color="auto"/>
            </w:tcBorders>
            <w:noWrap/>
            <w:vAlign w:val="center"/>
          </w:tcPr>
          <w:p w14:paraId="488FF05A"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4-6</w:t>
            </w:r>
          </w:p>
        </w:tc>
      </w:tr>
      <w:tr w:rsidR="002E6A8A" w:rsidRPr="00FA7341" w14:paraId="2259A85F" w14:textId="77777777" w:rsidTr="00B40200">
        <w:trPr>
          <w:trHeight w:val="294"/>
        </w:trPr>
        <w:tc>
          <w:tcPr>
            <w:tcW w:w="5009" w:type="dxa"/>
            <w:tcBorders>
              <w:top w:val="nil"/>
              <w:left w:val="single" w:sz="4" w:space="0" w:color="auto"/>
              <w:bottom w:val="single" w:sz="4" w:space="0" w:color="auto"/>
              <w:right w:val="single" w:sz="4" w:space="0" w:color="auto"/>
            </w:tcBorders>
            <w:vAlign w:val="center"/>
          </w:tcPr>
          <w:p w14:paraId="2BA9B06C"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150%</w:t>
            </w:r>
          </w:p>
        </w:tc>
        <w:tc>
          <w:tcPr>
            <w:tcW w:w="3983" w:type="dxa"/>
            <w:tcBorders>
              <w:top w:val="nil"/>
              <w:left w:val="nil"/>
              <w:bottom w:val="single" w:sz="4" w:space="0" w:color="auto"/>
              <w:right w:val="single" w:sz="4" w:space="0" w:color="auto"/>
            </w:tcBorders>
            <w:noWrap/>
            <w:vAlign w:val="bottom"/>
          </w:tcPr>
          <w:p w14:paraId="27E1F3FB" w14:textId="77777777" w:rsidR="002E6A8A" w:rsidRPr="00FA7341" w:rsidRDefault="002E6A8A" w:rsidP="002E6A8A">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7-8</w:t>
            </w:r>
          </w:p>
        </w:tc>
      </w:tr>
    </w:tbl>
    <w:p w14:paraId="36A9CA5F" w14:textId="77777777" w:rsidR="002E6A8A" w:rsidRPr="00FA7341" w:rsidRDefault="002E6A8A" w:rsidP="00BA388C">
      <w:pPr>
        <w:spacing w:after="0"/>
        <w:jc w:val="both"/>
        <w:rPr>
          <w:rFonts w:ascii="Century Gothic" w:eastAsia="Arial" w:hAnsi="Century Gothic" w:cs="Arial"/>
          <w:color w:val="000000" w:themeColor="text1"/>
        </w:rPr>
      </w:pPr>
    </w:p>
    <w:p w14:paraId="3835D1B6" w14:textId="65A674FA" w:rsidR="001B6C3C" w:rsidRPr="00FA7341" w:rsidRDefault="00BA388C" w:rsidP="00BA388C">
      <w:pPr>
        <w:spacing w:after="0"/>
        <w:jc w:val="both"/>
        <w:rPr>
          <w:rFonts w:ascii="Century Gothic" w:eastAsia="Arial" w:hAnsi="Century Gothic" w:cs="Arial"/>
          <w:color w:val="000000" w:themeColor="text1"/>
        </w:rPr>
      </w:pPr>
      <w:r w:rsidRPr="00FA7341">
        <w:rPr>
          <w:rFonts w:ascii="Century Gothic" w:eastAsia="Arial" w:hAnsi="Century Gothic" w:cs="Arial"/>
          <w:color w:val="000000" w:themeColor="text1"/>
        </w:rPr>
        <w:t xml:space="preserve">NOTA 2: </w:t>
      </w:r>
      <w:proofErr w:type="gramStart"/>
      <w:r w:rsidRPr="00FA7341">
        <w:rPr>
          <w:rFonts w:ascii="Century Gothic" w:eastAsia="Arial" w:hAnsi="Century Gothic" w:cs="Arial"/>
          <w:color w:val="000000" w:themeColor="text1"/>
        </w:rPr>
        <w:t>En razón del</w:t>
      </w:r>
      <w:proofErr w:type="gramEnd"/>
      <w:r w:rsidRPr="00FA7341">
        <w:rPr>
          <w:rFonts w:ascii="Century Gothic" w:eastAsia="Arial" w:hAnsi="Century Gothic" w:cs="Arial"/>
          <w:color w:val="000000" w:themeColor="text1"/>
        </w:rPr>
        <w:t xml:space="preserve"> objeto contractual, el alcance de las obligaciones y conforme al análisis de sector, del presente proceso no se dará la aplicación a la provisión de bienes o servicios por parte de población en pobreza extrema, desplazados por la violencia, personas en proceso de reintegración o reincorporación y sujetos de especial protección constitucional de que trata el ARTÍCULO 2.2.1.2.4.2.16 del </w:t>
      </w:r>
      <w:r w:rsidR="00F8773B" w:rsidRPr="00FA7341">
        <w:rPr>
          <w:rFonts w:ascii="Century Gothic" w:eastAsia="Arial" w:hAnsi="Century Gothic" w:cs="Arial"/>
          <w:color w:val="000000" w:themeColor="text1"/>
        </w:rPr>
        <w:t>D</w:t>
      </w:r>
      <w:r w:rsidRPr="00FA7341">
        <w:rPr>
          <w:rFonts w:ascii="Century Gothic" w:eastAsia="Arial" w:hAnsi="Century Gothic" w:cs="Arial"/>
          <w:color w:val="000000" w:themeColor="text1"/>
        </w:rPr>
        <w:t>ecreto 1860 de 2021.</w:t>
      </w:r>
    </w:p>
    <w:p w14:paraId="36628962" w14:textId="77777777" w:rsidR="00F8773B" w:rsidRPr="00FA7341" w:rsidRDefault="00F8773B" w:rsidP="00BA388C">
      <w:pPr>
        <w:spacing w:after="0"/>
        <w:jc w:val="both"/>
        <w:rPr>
          <w:rFonts w:ascii="Century Gothic" w:eastAsia="Arial" w:hAnsi="Century Gothic" w:cs="Arial"/>
          <w:b/>
          <w:bCs/>
          <w:i/>
          <w:iCs/>
          <w:color w:val="000000" w:themeColor="text1"/>
          <w:u w:val="single"/>
        </w:rPr>
      </w:pPr>
    </w:p>
    <w:p w14:paraId="39600B03" w14:textId="49A5B3BC" w:rsidR="00125DDD" w:rsidRPr="00FA7341" w:rsidRDefault="00125DDD" w:rsidP="007369E7">
      <w:pPr>
        <w:pStyle w:val="Ttulo3"/>
        <w:numPr>
          <w:ilvl w:val="1"/>
          <w:numId w:val="1"/>
        </w:numPr>
        <w:pBdr>
          <w:top w:val="single" w:sz="4" w:space="1" w:color="auto"/>
          <w:left w:val="single" w:sz="4" w:space="4" w:color="auto"/>
          <w:bottom w:val="single" w:sz="4" w:space="1" w:color="auto"/>
          <w:right w:val="single" w:sz="4" w:space="4" w:color="auto"/>
        </w:pBdr>
        <w:shd w:val="clear" w:color="auto" w:fill="002060"/>
        <w:spacing w:before="0"/>
        <w:ind w:left="720" w:hanging="720"/>
        <w:contextualSpacing/>
        <w:rPr>
          <w:rFonts w:ascii="Century Gothic" w:hAnsi="Century Gothic" w:cs="Arial"/>
          <w:noProof/>
          <w:color w:val="FFFFFF"/>
          <w:lang w:val="es-ES" w:eastAsia="es-ES"/>
        </w:rPr>
      </w:pPr>
      <w:bookmarkStart w:id="24" w:name="_Toc176618199"/>
      <w:bookmarkStart w:id="25" w:name="_Toc179188717"/>
      <w:bookmarkStart w:id="26" w:name="_Toc232673896"/>
      <w:r w:rsidRPr="00FA7341">
        <w:rPr>
          <w:rFonts w:ascii="Century Gothic" w:hAnsi="Century Gothic" w:cs="Arial"/>
          <w:noProof/>
          <w:color w:val="FFFFFF"/>
          <w:lang w:val="es-ES" w:eastAsia="es-ES"/>
        </w:rPr>
        <w:t>FOMENTO A LA EJECUCIÓN DE CONTRATOS ESTATALES POR PARTE DE POBLACIÓN EN POBREZA EXTREMA, DESPLAZADOS POR LA VIOLENCIA, PERSONAS EN PROCESO DE REINTEGRACIÓN O REINCORPORACIÓN Y SUJETOS DE ESPECIAL PROTECCIÓN CONSTITUCIONAL.</w:t>
      </w:r>
      <w:bookmarkEnd w:id="24"/>
      <w:bookmarkEnd w:id="25"/>
      <w:bookmarkEnd w:id="26"/>
    </w:p>
    <w:p w14:paraId="34935598" w14:textId="77777777" w:rsidR="00125DDD" w:rsidRPr="00FA7341" w:rsidRDefault="00125DDD" w:rsidP="007369E7">
      <w:pPr>
        <w:spacing w:after="0"/>
        <w:rPr>
          <w:rFonts w:ascii="Century Gothic" w:hAnsi="Century Gothic" w:cs="Arial"/>
        </w:rPr>
      </w:pPr>
    </w:p>
    <w:p w14:paraId="3A973CA3" w14:textId="31B54DC0" w:rsidR="00A42FDF" w:rsidRPr="00FA7341" w:rsidRDefault="00125DDD" w:rsidP="007369E7">
      <w:pPr>
        <w:spacing w:after="0"/>
        <w:jc w:val="both"/>
        <w:rPr>
          <w:rFonts w:ascii="Century Gothic" w:eastAsia="Arial" w:hAnsi="Century Gothic" w:cs="Arial"/>
          <w:color w:val="000000"/>
        </w:rPr>
      </w:pPr>
      <w:r w:rsidRPr="00FA7341">
        <w:rPr>
          <w:rFonts w:ascii="Century Gothic" w:eastAsia="Arial" w:hAnsi="Century Gothic" w:cs="Arial"/>
          <w:color w:val="000000"/>
        </w:rPr>
        <w:t xml:space="preserve">De conformidad con el articulo ARTÍCULO 2.2.1.2.4.2.16 del decreto 1082 de 2015, modificado por el decreto 1860 de 2021, teniendo en cuenta las características del contrato, el objeto contractual y el alcance de las obligaciones del contratista adjudicatario, </w:t>
      </w:r>
      <w:r w:rsidRPr="00FA7341">
        <w:rPr>
          <w:rFonts w:ascii="Century Gothic" w:eastAsia="Arial" w:hAnsi="Century Gothic" w:cs="Arial"/>
          <w:color w:val="000000"/>
          <w:u w:val="single"/>
        </w:rPr>
        <w:t>será necesario exigir</w:t>
      </w:r>
      <w:r w:rsidRPr="00FA7341">
        <w:rPr>
          <w:rFonts w:ascii="Century Gothic" w:eastAsia="Arial" w:hAnsi="Century Gothic" w:cs="Arial"/>
          <w:color w:val="000000"/>
        </w:rPr>
        <w:t xml:space="preserve">, para la ejecución del contrato que se suscriba, la participación de población en pobreza extrema, desplazados por la violencia, </w:t>
      </w:r>
      <w:r w:rsidRPr="00FA7341">
        <w:rPr>
          <w:rFonts w:ascii="Century Gothic" w:eastAsia="Arial" w:hAnsi="Century Gothic" w:cs="Arial"/>
          <w:color w:val="000000"/>
        </w:rPr>
        <w:lastRenderedPageBreak/>
        <w:t>personas en proceso de reintegración o reincorporación y sujetos de especial protección constitucional.</w:t>
      </w:r>
    </w:p>
    <w:p w14:paraId="56FE1168" w14:textId="77777777" w:rsidR="007E35FC" w:rsidRPr="00FA7341" w:rsidRDefault="007E35FC" w:rsidP="007369E7">
      <w:pPr>
        <w:suppressAutoHyphens/>
        <w:spacing w:after="0" w:line="240" w:lineRule="auto"/>
        <w:jc w:val="both"/>
        <w:rPr>
          <w:rFonts w:ascii="Century Gothic" w:eastAsia="Times New Roman" w:hAnsi="Century Gothic" w:cs="Arial"/>
          <w:color w:val="000000"/>
        </w:rPr>
      </w:pPr>
    </w:p>
    <w:p w14:paraId="6BEE949A" w14:textId="77777777" w:rsidR="00A42FDF" w:rsidRPr="00FA7341" w:rsidRDefault="00A42FDF" w:rsidP="007369E7">
      <w:pPr>
        <w:pStyle w:val="Ttulo4"/>
        <w:widowControl w:val="0"/>
        <w:numPr>
          <w:ilvl w:val="3"/>
          <w:numId w:val="1"/>
        </w:numPr>
        <w:shd w:val="clear" w:color="auto" w:fill="002060"/>
        <w:autoSpaceDE w:val="0"/>
        <w:autoSpaceDN w:val="0"/>
        <w:spacing w:before="0" w:line="240" w:lineRule="auto"/>
        <w:jc w:val="both"/>
        <w:rPr>
          <w:rFonts w:ascii="Century Gothic" w:hAnsi="Century Gothic" w:cs="Arial"/>
          <w:i w:val="0"/>
          <w:noProof/>
          <w:color w:val="FFFFFF"/>
          <w:lang w:eastAsia="es-ES"/>
        </w:rPr>
      </w:pPr>
      <w:bookmarkStart w:id="27" w:name="_Toc170823891"/>
      <w:r w:rsidRPr="00FA7341">
        <w:rPr>
          <w:rFonts w:ascii="Century Gothic" w:hAnsi="Century Gothic" w:cs="Arial"/>
          <w:i w:val="0"/>
          <w:noProof/>
          <w:color w:val="FFFFFF"/>
          <w:lang w:eastAsia="es-ES"/>
        </w:rPr>
        <w:t>CONTEXTO TÉCNICO</w:t>
      </w:r>
      <w:bookmarkEnd w:id="27"/>
    </w:p>
    <w:p w14:paraId="3AC7BF46" w14:textId="77777777" w:rsidR="00A42FDF" w:rsidRPr="00FA7341" w:rsidRDefault="00A42FDF" w:rsidP="007369E7">
      <w:pPr>
        <w:suppressAutoHyphens/>
        <w:spacing w:after="0" w:line="240" w:lineRule="auto"/>
        <w:jc w:val="both"/>
        <w:rPr>
          <w:rFonts w:ascii="Century Gothic" w:hAnsi="Century Gothic" w:cs="Arial"/>
        </w:rPr>
      </w:pPr>
    </w:p>
    <w:p w14:paraId="2306A550" w14:textId="77777777" w:rsidR="00CA777A" w:rsidRPr="00FA7341" w:rsidRDefault="00CA777A" w:rsidP="00CA777A">
      <w:pPr>
        <w:suppressAutoHyphens/>
        <w:spacing w:after="0" w:line="240" w:lineRule="auto"/>
        <w:jc w:val="both"/>
        <w:rPr>
          <w:rFonts w:ascii="Century Gothic" w:hAnsi="Century Gothic" w:cs="Arial"/>
          <w:color w:val="000000" w:themeColor="text1"/>
        </w:rPr>
      </w:pPr>
      <w:r>
        <w:rPr>
          <w:rFonts w:ascii="Century Gothic" w:hAnsi="Century Gothic" w:cs="Arial"/>
          <w:color w:val="000000" w:themeColor="text1"/>
        </w:rPr>
        <w:t>C</w:t>
      </w:r>
      <w:r w:rsidRPr="00CA777A">
        <w:rPr>
          <w:rFonts w:ascii="Century Gothic" w:hAnsi="Century Gothic" w:cs="Arial"/>
          <w:color w:val="000000" w:themeColor="text1"/>
        </w:rPr>
        <w:t>onforme a las funciones asignadas al Departamento Administrativo de la Función Pública de Cundinamarca mediante el Decreto Ordenanzal 406 de 2024, relacionadas con la administración del talento humano, la implementación de estrategias de bienestar laboral y el cumplimiento de las disposiciones en materia de seguridad y salud en el trabajo, resulta necesario adelantar el presente proceso contractual con el fin de garantizar la entrega oportuna de la dotación a los servidores que acrediten los requisitos legales, favoreciendo la eficiencia en la prestación del servicio público y el cumplimiento de los fines de la Administración Departamental</w:t>
      </w:r>
    </w:p>
    <w:p w14:paraId="1F05226E" w14:textId="77777777" w:rsidR="00CA777A" w:rsidRDefault="00CA777A" w:rsidP="004D01EF">
      <w:pPr>
        <w:suppressAutoHyphens/>
        <w:spacing w:after="0" w:line="240" w:lineRule="auto"/>
        <w:jc w:val="both"/>
        <w:rPr>
          <w:rFonts w:ascii="Century Gothic" w:hAnsi="Century Gothic" w:cs="Arial"/>
          <w:color w:val="000000" w:themeColor="text1"/>
        </w:rPr>
      </w:pPr>
    </w:p>
    <w:p w14:paraId="4D778066" w14:textId="7FC0B5A3" w:rsidR="00CA777A" w:rsidRDefault="00CA777A" w:rsidP="004D01EF">
      <w:pPr>
        <w:suppressAutoHyphens/>
        <w:spacing w:after="0" w:line="240" w:lineRule="auto"/>
        <w:jc w:val="both"/>
        <w:rPr>
          <w:rFonts w:ascii="Century Gothic" w:hAnsi="Century Gothic" w:cs="Arial"/>
          <w:color w:val="000000" w:themeColor="text1"/>
        </w:rPr>
      </w:pPr>
      <w:r w:rsidRPr="00CA777A">
        <w:rPr>
          <w:rFonts w:ascii="Century Gothic" w:hAnsi="Century Gothic" w:cs="Arial"/>
          <w:color w:val="000000" w:themeColor="text1"/>
        </w:rPr>
        <w:t>La necesidad de contratar el suministro de dotación para los servidores públicos de la entidad obedece al cumplimiento de las obligaciones legales y prestacionales a cargo de la Administración Departamental, en concordancia con lo dispuesto en la Ley 70 de 1988, el Decreto 1978 de 1989 y demás normas que regulan la materia.</w:t>
      </w:r>
    </w:p>
    <w:p w14:paraId="30679E9A" w14:textId="77777777" w:rsidR="00CA777A" w:rsidRDefault="00CA777A" w:rsidP="004D01EF">
      <w:pPr>
        <w:suppressAutoHyphens/>
        <w:spacing w:after="0" w:line="240" w:lineRule="auto"/>
        <w:jc w:val="both"/>
        <w:rPr>
          <w:rFonts w:ascii="Century Gothic" w:hAnsi="Century Gothic" w:cs="Arial"/>
          <w:color w:val="000000" w:themeColor="text1"/>
        </w:rPr>
      </w:pPr>
    </w:p>
    <w:p w14:paraId="641D4AFF" w14:textId="77777777" w:rsidR="00CA777A" w:rsidRDefault="00CA777A" w:rsidP="004D01EF">
      <w:pPr>
        <w:suppressAutoHyphens/>
        <w:spacing w:after="0" w:line="240" w:lineRule="auto"/>
        <w:jc w:val="both"/>
        <w:rPr>
          <w:rFonts w:ascii="Century Gothic" w:hAnsi="Century Gothic" w:cs="Arial"/>
          <w:color w:val="000000" w:themeColor="text1"/>
        </w:rPr>
      </w:pPr>
      <w:r w:rsidRPr="00CA777A">
        <w:rPr>
          <w:rFonts w:ascii="Century Gothic" w:hAnsi="Century Gothic" w:cs="Arial"/>
          <w:color w:val="000000" w:themeColor="text1"/>
        </w:rPr>
        <w:t xml:space="preserve">Así mismo, la adquisición de la dotación constituye una herramienta esencial para fortalecer las condiciones de bienestar laboral, seguridad y salud en el trabajo de los funcionarios, permitiendo el adecuado desarrollo de sus funciones y contribuyendo al fortalecimiento de la identidad institucional. </w:t>
      </w:r>
    </w:p>
    <w:p w14:paraId="3DDA3067" w14:textId="22500524" w:rsidR="004D01EF" w:rsidRPr="00FA7341" w:rsidRDefault="004D01EF" w:rsidP="004D01EF">
      <w:pPr>
        <w:suppressAutoHyphens/>
        <w:spacing w:after="0" w:line="240" w:lineRule="auto"/>
        <w:jc w:val="both"/>
        <w:rPr>
          <w:rFonts w:ascii="Century Gothic" w:hAnsi="Century Gothic" w:cs="Arial"/>
          <w:color w:val="000000" w:themeColor="text1"/>
        </w:rPr>
      </w:pPr>
    </w:p>
    <w:p w14:paraId="4BDB4B62" w14:textId="7D443668" w:rsidR="004D01EF" w:rsidRPr="00FA7341" w:rsidRDefault="004D01EF" w:rsidP="004D01EF">
      <w:pPr>
        <w:suppressAutoHyphens/>
        <w:spacing w:after="0" w:line="240" w:lineRule="auto"/>
        <w:jc w:val="both"/>
        <w:rPr>
          <w:rFonts w:ascii="Century Gothic" w:hAnsi="Century Gothic" w:cs="Arial"/>
          <w:color w:val="000000" w:themeColor="text1"/>
        </w:rPr>
      </w:pPr>
      <w:r w:rsidRPr="00FA7341">
        <w:rPr>
          <w:rFonts w:ascii="Century Gothic" w:hAnsi="Century Gothic" w:cs="Arial"/>
          <w:color w:val="000000" w:themeColor="text1"/>
        </w:rPr>
        <w:t>Como resultado de dicho análisis realizado por el DAFPC, se estableció que los bienes requeridos —</w:t>
      </w:r>
      <w:r w:rsidR="00F30D1C">
        <w:rPr>
          <w:rFonts w:ascii="Century Gothic" w:hAnsi="Century Gothic" w:cs="Arial"/>
          <w:color w:val="000000" w:themeColor="text1"/>
        </w:rPr>
        <w:t xml:space="preserve"> </w:t>
      </w:r>
      <w:r w:rsidR="00C816B0">
        <w:rPr>
          <w:rFonts w:ascii="Century Gothic" w:hAnsi="Century Gothic" w:cs="Arial"/>
          <w:color w:val="000000" w:themeColor="text1"/>
        </w:rPr>
        <w:t>Bonos para la dotación de los funcionarios del sector central de la gobernación de Cundinamarca</w:t>
      </w:r>
      <w:r w:rsidRPr="00FA7341">
        <w:rPr>
          <w:rFonts w:ascii="Century Gothic" w:hAnsi="Century Gothic" w:cs="Arial"/>
          <w:color w:val="000000" w:themeColor="text1"/>
        </w:rPr>
        <w:t>— corresponden a elementos con características técnicas definidas. Esta condición permite estructurar un proceso de selección en el que las ofertas puedan ser comparadas en igualdad de condiciones, privilegiando el factor económico como criterio determinante.</w:t>
      </w:r>
      <w:r w:rsidR="00F30D1C">
        <w:rPr>
          <w:rFonts w:ascii="Century Gothic" w:hAnsi="Century Gothic" w:cs="Arial"/>
          <w:color w:val="000000" w:themeColor="text1"/>
        </w:rPr>
        <w:t xml:space="preserve"> </w:t>
      </w:r>
    </w:p>
    <w:p w14:paraId="2F91A04B" w14:textId="77777777" w:rsidR="004D01EF" w:rsidRPr="00FA7341" w:rsidRDefault="004D01EF" w:rsidP="004D01EF">
      <w:pPr>
        <w:suppressAutoHyphens/>
        <w:spacing w:after="0" w:line="240" w:lineRule="auto"/>
        <w:jc w:val="both"/>
        <w:rPr>
          <w:rFonts w:ascii="Century Gothic" w:hAnsi="Century Gothic" w:cs="Arial"/>
          <w:color w:val="000000" w:themeColor="text1"/>
        </w:rPr>
      </w:pPr>
    </w:p>
    <w:p w14:paraId="36E7D69A" w14:textId="77777777" w:rsidR="004D01EF" w:rsidRPr="00FA7341" w:rsidRDefault="004D01EF" w:rsidP="004D01EF">
      <w:pPr>
        <w:suppressAutoHyphens/>
        <w:spacing w:after="0" w:line="240" w:lineRule="auto"/>
        <w:jc w:val="both"/>
        <w:rPr>
          <w:rFonts w:ascii="Century Gothic" w:hAnsi="Century Gothic" w:cs="Arial"/>
          <w:color w:val="000000" w:themeColor="text1"/>
        </w:rPr>
      </w:pPr>
      <w:r w:rsidRPr="00FA7341">
        <w:rPr>
          <w:rFonts w:ascii="Century Gothic" w:hAnsi="Century Gothic" w:cs="Arial"/>
          <w:color w:val="000000" w:themeColor="text1"/>
        </w:rPr>
        <w:t>En este contexto, la subasta inversa se configura como el mecanismo más adecuado, en tanto permite la adquisición de bienes de características técnicas uniformes y de común utilización, mediante un procedimiento competitivo en el que los oferentes habilitados presentan lances sucesivos a la baja, con el fin de obtener la mejor oferta económica para la entidad, garantizando al mismo tiempo el cumplimiento de las condiciones técnicas exigidas.</w:t>
      </w:r>
    </w:p>
    <w:p w14:paraId="12CE4E1A" w14:textId="77777777" w:rsidR="004D01EF" w:rsidRPr="00FA7341" w:rsidRDefault="004D01EF" w:rsidP="004D01EF">
      <w:pPr>
        <w:suppressAutoHyphens/>
        <w:spacing w:after="0" w:line="240" w:lineRule="auto"/>
        <w:jc w:val="both"/>
        <w:rPr>
          <w:rFonts w:ascii="Century Gothic" w:hAnsi="Century Gothic" w:cs="Arial"/>
          <w:color w:val="000000" w:themeColor="text1"/>
        </w:rPr>
      </w:pPr>
    </w:p>
    <w:p w14:paraId="49B9B9FB" w14:textId="7720B047" w:rsidR="004D01EF" w:rsidRPr="00FA7341" w:rsidRDefault="004D01EF" w:rsidP="004D01EF">
      <w:pPr>
        <w:suppressAutoHyphens/>
        <w:spacing w:after="0" w:line="240" w:lineRule="auto"/>
        <w:jc w:val="both"/>
        <w:rPr>
          <w:rFonts w:ascii="Century Gothic" w:hAnsi="Century Gothic" w:cs="Arial"/>
          <w:color w:val="000000" w:themeColor="text1"/>
        </w:rPr>
      </w:pPr>
      <w:r w:rsidRPr="00FA7341">
        <w:rPr>
          <w:rFonts w:ascii="Century Gothic" w:hAnsi="Century Gothic" w:cs="Arial"/>
          <w:color w:val="000000" w:themeColor="text1"/>
        </w:rPr>
        <w:t xml:space="preserve">Desde el punto de vista técnico, la utilización de la subasta inversa en el presente proceso resulta plenamente procedente, en la medida en que los bienes a </w:t>
      </w:r>
      <w:r w:rsidRPr="00FA7341">
        <w:rPr>
          <w:rFonts w:ascii="Century Gothic" w:hAnsi="Century Gothic" w:cs="Arial"/>
          <w:color w:val="000000" w:themeColor="text1"/>
        </w:rPr>
        <w:lastRenderedPageBreak/>
        <w:t>contratar cuentan con especificaciones técnicas previamente definidas, claras y objetivas, que no requieren valoraciones subjetivas, en el cual, además, existe una pluralidad de proveedores en capacidad de ofrecer productos con características equivalentes</w:t>
      </w:r>
    </w:p>
    <w:p w14:paraId="006500D1" w14:textId="77777777" w:rsidR="009F0CF0" w:rsidRPr="00FA7341" w:rsidRDefault="009F0CF0" w:rsidP="009F0CF0">
      <w:pPr>
        <w:suppressAutoHyphens/>
        <w:spacing w:after="0" w:line="240" w:lineRule="auto"/>
        <w:jc w:val="both"/>
        <w:rPr>
          <w:rFonts w:ascii="Century Gothic" w:hAnsi="Century Gothic" w:cs="Arial"/>
          <w:color w:val="000000" w:themeColor="text1"/>
        </w:rPr>
      </w:pPr>
    </w:p>
    <w:p w14:paraId="3DDCF3F2" w14:textId="3B6E8084" w:rsidR="009F0CF0" w:rsidRPr="00FA7341" w:rsidRDefault="009F0CF0" w:rsidP="009F0CF0">
      <w:pPr>
        <w:suppressAutoHyphens/>
        <w:spacing w:after="0" w:line="240" w:lineRule="auto"/>
        <w:jc w:val="both"/>
        <w:rPr>
          <w:rFonts w:ascii="Century Gothic" w:hAnsi="Century Gothic" w:cs="Arial"/>
          <w:color w:val="000000" w:themeColor="text1"/>
        </w:rPr>
      </w:pPr>
      <w:r w:rsidRPr="00FA7341">
        <w:rPr>
          <w:rFonts w:ascii="Century Gothic" w:hAnsi="Century Gothic" w:cs="Arial"/>
          <w:color w:val="000000" w:themeColor="text1"/>
        </w:rPr>
        <w:t xml:space="preserve">Con el fin de cumplir con los estándares establecidos en la normatividad vigente y de asegurar condiciones óptimas para el desempeño de las labores operativas, es necesario realizar la </w:t>
      </w:r>
      <w:r w:rsidR="00FA7341" w:rsidRPr="00FA7341">
        <w:rPr>
          <w:rFonts w:ascii="Century Gothic" w:hAnsi="Century Gothic" w:cs="Arial"/>
          <w:color w:val="000000" w:themeColor="text1"/>
        </w:rPr>
        <w:t>adquisición de bonos para el suministro de la dotación a los funcionarios de la gobernación de Cundinamarca.</w:t>
      </w:r>
    </w:p>
    <w:p w14:paraId="014EB68A" w14:textId="77777777" w:rsidR="009F0CF0" w:rsidRPr="00FA7341" w:rsidRDefault="009F0CF0" w:rsidP="009F0CF0">
      <w:pPr>
        <w:suppressAutoHyphens/>
        <w:spacing w:after="0" w:line="240" w:lineRule="auto"/>
        <w:jc w:val="both"/>
        <w:rPr>
          <w:rFonts w:ascii="Century Gothic" w:hAnsi="Century Gothic" w:cs="Arial"/>
          <w:color w:val="000000" w:themeColor="text1"/>
        </w:rPr>
      </w:pPr>
    </w:p>
    <w:p w14:paraId="065CDCE2" w14:textId="5A3DC07F" w:rsidR="007E35FC" w:rsidRPr="00FA7341" w:rsidRDefault="009F0CF0" w:rsidP="009F0CF0">
      <w:pPr>
        <w:suppressAutoHyphens/>
        <w:spacing w:after="0" w:line="240" w:lineRule="auto"/>
        <w:jc w:val="both"/>
        <w:rPr>
          <w:rFonts w:ascii="Century Gothic" w:hAnsi="Century Gothic" w:cs="Arial"/>
          <w:color w:val="000000" w:themeColor="text1"/>
        </w:rPr>
      </w:pPr>
      <w:r w:rsidRPr="00FA7341">
        <w:rPr>
          <w:rFonts w:ascii="Century Gothic" w:hAnsi="Century Gothic" w:cs="Arial"/>
          <w:color w:val="000000" w:themeColor="text1"/>
        </w:rPr>
        <w:t>El presente contrato tiene como objetivo la adquisición y entrega oportuna de dicho element</w:t>
      </w:r>
      <w:r w:rsidR="00FA7341" w:rsidRPr="00FA7341">
        <w:rPr>
          <w:rFonts w:ascii="Century Gothic" w:hAnsi="Century Gothic" w:cs="Arial"/>
          <w:color w:val="000000" w:themeColor="text1"/>
        </w:rPr>
        <w:t>o</w:t>
      </w:r>
      <w:r w:rsidRPr="00FA7341">
        <w:rPr>
          <w:rFonts w:ascii="Century Gothic" w:hAnsi="Century Gothic" w:cs="Arial"/>
          <w:color w:val="000000" w:themeColor="text1"/>
        </w:rPr>
        <w:t>, bajo estándares de calidad, cumplimiento y pertinencia.</w:t>
      </w:r>
    </w:p>
    <w:p w14:paraId="672E6567" w14:textId="77777777" w:rsidR="005C539D" w:rsidRPr="00FA7341" w:rsidRDefault="005C539D" w:rsidP="009F0CF0">
      <w:pPr>
        <w:suppressAutoHyphens/>
        <w:spacing w:after="0" w:line="240" w:lineRule="auto"/>
        <w:jc w:val="both"/>
        <w:rPr>
          <w:rFonts w:ascii="Century Gothic" w:hAnsi="Century Gothic" w:cs="Arial"/>
          <w:color w:val="000000" w:themeColor="text1"/>
        </w:rPr>
      </w:pPr>
    </w:p>
    <w:p w14:paraId="33928AEA" w14:textId="77777777" w:rsidR="00C87A44" w:rsidRPr="00FA7341" w:rsidRDefault="00C87A44" w:rsidP="007369E7">
      <w:pPr>
        <w:pStyle w:val="Ttulo4"/>
        <w:widowControl w:val="0"/>
        <w:numPr>
          <w:ilvl w:val="3"/>
          <w:numId w:val="1"/>
        </w:numPr>
        <w:shd w:val="clear" w:color="auto" w:fill="002060"/>
        <w:autoSpaceDE w:val="0"/>
        <w:autoSpaceDN w:val="0"/>
        <w:spacing w:before="0" w:line="240" w:lineRule="auto"/>
        <w:jc w:val="both"/>
        <w:rPr>
          <w:rFonts w:ascii="Century Gothic" w:hAnsi="Century Gothic" w:cs="Arial"/>
          <w:i w:val="0"/>
          <w:noProof/>
          <w:color w:val="FFFFFF"/>
          <w:lang w:eastAsia="es-ES"/>
        </w:rPr>
      </w:pPr>
      <w:r w:rsidRPr="00FA7341">
        <w:rPr>
          <w:rFonts w:ascii="Century Gothic" w:hAnsi="Century Gothic" w:cs="Arial"/>
          <w:i w:val="0"/>
          <w:noProof/>
          <w:color w:val="FFFFFF"/>
          <w:lang w:eastAsia="es-ES"/>
        </w:rPr>
        <w:t>ESPECIFICACIONES TÉCNICAS</w:t>
      </w:r>
    </w:p>
    <w:p w14:paraId="17E8116C" w14:textId="77777777" w:rsidR="00A42FDF" w:rsidRPr="00FA7341" w:rsidRDefault="00A42FDF" w:rsidP="007369E7">
      <w:pPr>
        <w:suppressAutoHyphens/>
        <w:spacing w:after="0" w:line="240" w:lineRule="auto"/>
        <w:jc w:val="both"/>
        <w:rPr>
          <w:rFonts w:ascii="Century Gothic" w:hAnsi="Century Gothic" w:cs="Arial"/>
        </w:rPr>
      </w:pPr>
    </w:p>
    <w:p w14:paraId="3CF10A9E" w14:textId="1427EDCF" w:rsidR="00A42FDF" w:rsidRPr="00FA7341" w:rsidRDefault="00C87A44" w:rsidP="007369E7">
      <w:pPr>
        <w:suppressAutoHyphens/>
        <w:spacing w:after="0" w:line="240" w:lineRule="auto"/>
        <w:jc w:val="both"/>
        <w:rPr>
          <w:rFonts w:ascii="Century Gothic" w:hAnsi="Century Gothic" w:cs="Arial"/>
        </w:rPr>
      </w:pPr>
      <w:r w:rsidRPr="00FA7341">
        <w:rPr>
          <w:rFonts w:ascii="Century Gothic" w:hAnsi="Century Gothic" w:cs="Arial"/>
        </w:rPr>
        <w:t>Las especificaciones técnic</w:t>
      </w:r>
      <w:r w:rsidR="002966FD" w:rsidRPr="00FA7341">
        <w:rPr>
          <w:rFonts w:ascii="Century Gothic" w:hAnsi="Century Gothic" w:cs="Arial"/>
        </w:rPr>
        <w:t>a</w:t>
      </w:r>
      <w:r w:rsidRPr="00FA7341">
        <w:rPr>
          <w:rFonts w:ascii="Century Gothic" w:hAnsi="Century Gothic" w:cs="Arial"/>
        </w:rPr>
        <w:t xml:space="preserve">s </w:t>
      </w:r>
      <w:r w:rsidR="002966FD" w:rsidRPr="00FA7341">
        <w:rPr>
          <w:rFonts w:ascii="Century Gothic" w:hAnsi="Century Gothic" w:cs="Arial"/>
        </w:rPr>
        <w:t xml:space="preserve">de los bienes y/o servicios </w:t>
      </w:r>
      <w:r w:rsidRPr="00FA7341">
        <w:rPr>
          <w:rFonts w:ascii="Century Gothic" w:hAnsi="Century Gothic" w:cs="Arial"/>
        </w:rPr>
        <w:t xml:space="preserve">se encuentran establecidos </w:t>
      </w:r>
      <w:r w:rsidRPr="00FA7341">
        <w:rPr>
          <w:rFonts w:ascii="Century Gothic" w:hAnsi="Century Gothic" w:cs="Arial"/>
          <w:color w:val="000000" w:themeColor="text1"/>
        </w:rPr>
        <w:t xml:space="preserve">en el Anexo </w:t>
      </w:r>
      <w:r w:rsidR="003C469F" w:rsidRPr="00FA7341">
        <w:rPr>
          <w:rFonts w:ascii="Century Gothic" w:hAnsi="Century Gothic" w:cs="Arial"/>
          <w:color w:val="000000" w:themeColor="text1"/>
        </w:rPr>
        <w:t>01</w:t>
      </w:r>
      <w:r w:rsidR="007E35FC" w:rsidRPr="00FA7341">
        <w:rPr>
          <w:rFonts w:ascii="Century Gothic" w:hAnsi="Century Gothic" w:cs="Arial"/>
          <w:color w:val="000000" w:themeColor="text1"/>
        </w:rPr>
        <w:t xml:space="preserve"> </w:t>
      </w:r>
      <w:r w:rsidR="002966FD" w:rsidRPr="00FA7341">
        <w:rPr>
          <w:rFonts w:ascii="Century Gothic" w:hAnsi="Century Gothic" w:cs="Arial"/>
          <w:color w:val="000000" w:themeColor="text1"/>
        </w:rPr>
        <w:t xml:space="preserve">- </w:t>
      </w:r>
      <w:r w:rsidRPr="00FA7341">
        <w:rPr>
          <w:rFonts w:ascii="Century Gothic" w:hAnsi="Century Gothic" w:cs="Arial"/>
          <w:color w:val="000000" w:themeColor="text1"/>
        </w:rPr>
        <w:t>Ficha Técnica.</w:t>
      </w:r>
    </w:p>
    <w:p w14:paraId="06311396" w14:textId="77777777" w:rsidR="00F84F05" w:rsidRPr="00FA7341" w:rsidRDefault="00F84F05" w:rsidP="007369E7">
      <w:pPr>
        <w:spacing w:after="0" w:line="240" w:lineRule="auto"/>
        <w:jc w:val="both"/>
        <w:rPr>
          <w:rFonts w:ascii="Century Gothic" w:eastAsia="Arial" w:hAnsi="Century Gothic" w:cs="Arial"/>
          <w:color w:val="000000"/>
        </w:rPr>
      </w:pPr>
    </w:p>
    <w:p w14:paraId="23C92036" w14:textId="77777777" w:rsidR="005D79F7" w:rsidRPr="00FA7341" w:rsidRDefault="005D79F7" w:rsidP="007369E7">
      <w:pPr>
        <w:pStyle w:val="Ttulo1"/>
        <w:keepNext w:val="0"/>
        <w:keepLines w:val="0"/>
        <w:widowControl w:val="0"/>
        <w:numPr>
          <w:ilvl w:val="0"/>
          <w:numId w:val="1"/>
        </w:numPr>
        <w:shd w:val="clear" w:color="auto" w:fill="002060"/>
        <w:autoSpaceDE w:val="0"/>
        <w:autoSpaceDN w:val="0"/>
        <w:spacing w:before="0" w:line="240" w:lineRule="auto"/>
        <w:rPr>
          <w:rFonts w:ascii="Century Gothic" w:hAnsi="Century Gothic" w:cs="Arial"/>
          <w:color w:val="FFFFFF"/>
          <w:sz w:val="22"/>
          <w:szCs w:val="22"/>
        </w:rPr>
      </w:pPr>
      <w:bookmarkStart w:id="28" w:name="_Toc232673897"/>
      <w:r w:rsidRPr="00FA7341">
        <w:rPr>
          <w:rFonts w:ascii="Century Gothic" w:hAnsi="Century Gothic" w:cs="Arial"/>
          <w:color w:val="FFFFFF"/>
          <w:sz w:val="22"/>
          <w:szCs w:val="22"/>
        </w:rPr>
        <w:t>CONTEXTO LEGAL</w:t>
      </w:r>
      <w:bookmarkEnd w:id="28"/>
    </w:p>
    <w:p w14:paraId="345E2E04" w14:textId="77777777" w:rsidR="00F30D1C" w:rsidRDefault="00F30D1C" w:rsidP="00FA7341">
      <w:pPr>
        <w:spacing w:after="0"/>
        <w:jc w:val="both"/>
        <w:rPr>
          <w:rFonts w:ascii="Century Gothic" w:hAnsi="Century Gothic" w:cs="Arial"/>
        </w:rPr>
      </w:pPr>
    </w:p>
    <w:p w14:paraId="1A19F849" w14:textId="3CE83C4D" w:rsidR="00FA7341" w:rsidRPr="00FA7341" w:rsidRDefault="00FA7341" w:rsidP="00FA7341">
      <w:pPr>
        <w:spacing w:after="0"/>
        <w:jc w:val="both"/>
        <w:rPr>
          <w:rFonts w:ascii="Century Gothic" w:hAnsi="Century Gothic" w:cs="Arial"/>
        </w:rPr>
      </w:pPr>
      <w:r w:rsidRPr="00FA7341">
        <w:rPr>
          <w:rFonts w:ascii="Century Gothic" w:hAnsi="Century Gothic" w:cs="Arial"/>
        </w:rPr>
        <w:t xml:space="preserve">La Dirección de Potencial Humano tiene dentro de sus objetivos, según el artículo 96 del Decreto Ordenanzal citado, encontramos: </w:t>
      </w:r>
    </w:p>
    <w:p w14:paraId="7156D2C5" w14:textId="77777777" w:rsidR="00FA7341" w:rsidRPr="00FA7341" w:rsidRDefault="00FA7341" w:rsidP="00FA7341">
      <w:pPr>
        <w:spacing w:after="0"/>
        <w:jc w:val="both"/>
        <w:rPr>
          <w:rFonts w:ascii="Century Gothic" w:hAnsi="Century Gothic" w:cs="Arial"/>
        </w:rPr>
      </w:pPr>
    </w:p>
    <w:p w14:paraId="2AE0CFFF" w14:textId="77777777" w:rsidR="00FA7341" w:rsidRPr="00FA7341" w:rsidRDefault="00FA7341" w:rsidP="00FA7341">
      <w:pPr>
        <w:spacing w:after="0"/>
        <w:jc w:val="both"/>
        <w:rPr>
          <w:rFonts w:ascii="Century Gothic" w:hAnsi="Century Gothic" w:cs="Arial"/>
        </w:rPr>
      </w:pPr>
      <w:r w:rsidRPr="00FA7341">
        <w:rPr>
          <w:rFonts w:ascii="Century Gothic" w:hAnsi="Century Gothic" w:cs="Arial"/>
        </w:rPr>
        <w:t>“(…)</w:t>
      </w:r>
    </w:p>
    <w:p w14:paraId="0D982A01" w14:textId="77777777" w:rsidR="00FA7341" w:rsidRPr="00FA7341" w:rsidRDefault="00FA7341" w:rsidP="00FA7341">
      <w:pPr>
        <w:spacing w:after="0"/>
        <w:jc w:val="both"/>
        <w:rPr>
          <w:rFonts w:ascii="Century Gothic" w:hAnsi="Century Gothic" w:cs="Arial"/>
        </w:rPr>
      </w:pPr>
    </w:p>
    <w:p w14:paraId="09D401D5" w14:textId="74F957D1" w:rsidR="00F30D1C" w:rsidRPr="00F30D1C" w:rsidRDefault="00F30D1C" w:rsidP="00F30D1C">
      <w:pPr>
        <w:autoSpaceDE w:val="0"/>
        <w:autoSpaceDN w:val="0"/>
        <w:adjustRightInd w:val="0"/>
        <w:spacing w:after="0"/>
        <w:ind w:left="426" w:hanging="426"/>
        <w:jc w:val="both"/>
        <w:rPr>
          <w:rFonts w:ascii="Century Gothic" w:hAnsi="Century Gothic" w:cs="Arial"/>
          <w:color w:val="000000"/>
        </w:rPr>
      </w:pPr>
      <w:r w:rsidRPr="00F30D1C">
        <w:rPr>
          <w:rFonts w:ascii="Century Gothic" w:hAnsi="Century Gothic" w:cs="Arial"/>
          <w:color w:val="000000"/>
        </w:rPr>
        <w:t>20.</w:t>
      </w:r>
      <w:r>
        <w:rPr>
          <w:rFonts w:ascii="Century Gothic" w:hAnsi="Century Gothic" w:cs="Arial"/>
          <w:color w:val="000000"/>
        </w:rPr>
        <w:t xml:space="preserve">  </w:t>
      </w:r>
      <w:r w:rsidRPr="00F30D1C">
        <w:rPr>
          <w:rFonts w:ascii="Century Gothic" w:hAnsi="Century Gothic" w:cs="Arial"/>
          <w:color w:val="000000"/>
        </w:rPr>
        <w:t>Diseñar, ejecutar, hacer seguimiento y evaluar los planes anuales institucionales de Capacitación, Bienestar “Estímulos e Incentivos de los servidores públicos pertenecientes a la planta del Sector Central de la Gobernación de Cundinamarca.</w:t>
      </w:r>
    </w:p>
    <w:p w14:paraId="30B3F6D7" w14:textId="56DEAF03" w:rsidR="00FA7341" w:rsidRPr="00F30D1C" w:rsidRDefault="00F30D1C" w:rsidP="00F30D1C">
      <w:pPr>
        <w:pStyle w:val="Prrafodelista"/>
        <w:numPr>
          <w:ilvl w:val="0"/>
          <w:numId w:val="34"/>
        </w:numPr>
        <w:autoSpaceDE w:val="0"/>
        <w:autoSpaceDN w:val="0"/>
        <w:adjustRightInd w:val="0"/>
        <w:spacing w:after="0"/>
        <w:ind w:left="426" w:hanging="426"/>
        <w:jc w:val="both"/>
        <w:rPr>
          <w:rFonts w:ascii="Century Gothic" w:hAnsi="Century Gothic" w:cs="Arial"/>
          <w:color w:val="000000"/>
        </w:rPr>
      </w:pPr>
      <w:r w:rsidRPr="00F30D1C">
        <w:rPr>
          <w:rFonts w:ascii="Century Gothic" w:hAnsi="Century Gothic" w:cs="Arial"/>
          <w:color w:val="000000"/>
        </w:rPr>
        <w:t>Promover una identidad Institucional basada en principios de Buen Gobierno Corporativo, el código de integridad y una cultura caracterizada en normas, valores y actitudes, comprendidos e interiorizados por los servidores públicos del Sector Central del Departamento.</w:t>
      </w:r>
    </w:p>
    <w:p w14:paraId="0311580C" w14:textId="77777777" w:rsidR="00FA7341" w:rsidRPr="00FA7341" w:rsidRDefault="00FA7341" w:rsidP="00FA7341">
      <w:pPr>
        <w:pStyle w:val="Prrafodelista"/>
        <w:autoSpaceDE w:val="0"/>
        <w:autoSpaceDN w:val="0"/>
        <w:adjustRightInd w:val="0"/>
        <w:spacing w:after="0"/>
        <w:ind w:left="0"/>
        <w:jc w:val="both"/>
        <w:rPr>
          <w:rFonts w:ascii="Century Gothic" w:hAnsi="Century Gothic" w:cs="Arial"/>
          <w:color w:val="000000"/>
        </w:rPr>
      </w:pPr>
    </w:p>
    <w:p w14:paraId="4B6B71D7" w14:textId="77777777" w:rsidR="00FA7341" w:rsidRPr="00FA7341" w:rsidRDefault="00FA7341" w:rsidP="00FA7341">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73FB28C2" w14:textId="77777777" w:rsidR="00FA7341" w:rsidRPr="00FA7341" w:rsidRDefault="00FA7341" w:rsidP="00FA7341">
      <w:pPr>
        <w:autoSpaceDE w:val="0"/>
        <w:autoSpaceDN w:val="0"/>
        <w:adjustRightInd w:val="0"/>
        <w:spacing w:after="0"/>
        <w:jc w:val="both"/>
        <w:rPr>
          <w:rFonts w:ascii="Century Gothic" w:hAnsi="Century Gothic" w:cs="Arial"/>
          <w:color w:val="000000"/>
        </w:rPr>
      </w:pPr>
    </w:p>
    <w:p w14:paraId="0557A1A7" w14:textId="77777777" w:rsidR="00FA7341" w:rsidRPr="00FA7341" w:rsidRDefault="00FA7341" w:rsidP="00FA7341">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A su vez, en el artículo 94 del mencionado decreto, se le asignaron a la Oficina Asesora Jurídica y de Relación Laboral Individual y Colectiva, las siguientes funciones en su área de contratación:</w:t>
      </w:r>
    </w:p>
    <w:p w14:paraId="0DE12ADC" w14:textId="77777777" w:rsidR="00FA7341" w:rsidRPr="00FA7341" w:rsidRDefault="00FA7341" w:rsidP="00FA7341">
      <w:pPr>
        <w:autoSpaceDE w:val="0"/>
        <w:autoSpaceDN w:val="0"/>
        <w:adjustRightInd w:val="0"/>
        <w:spacing w:after="0"/>
        <w:jc w:val="both"/>
        <w:rPr>
          <w:rFonts w:ascii="Century Gothic" w:eastAsia="Arial" w:hAnsi="Century Gothic" w:cs="Arial"/>
        </w:rPr>
      </w:pPr>
    </w:p>
    <w:p w14:paraId="1235ED53" w14:textId="77777777" w:rsidR="00FA7341" w:rsidRPr="00FA7341" w:rsidRDefault="00FA7341" w:rsidP="00FA7341">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39DE53DB" w14:textId="77777777" w:rsidR="00FA7341" w:rsidRPr="00FA7341" w:rsidRDefault="00FA7341" w:rsidP="00FA7341">
      <w:pPr>
        <w:autoSpaceDE w:val="0"/>
        <w:autoSpaceDN w:val="0"/>
        <w:adjustRightInd w:val="0"/>
        <w:spacing w:after="0"/>
        <w:jc w:val="both"/>
        <w:rPr>
          <w:rFonts w:ascii="Century Gothic" w:hAnsi="Century Gothic" w:cs="Arial"/>
          <w:color w:val="000000"/>
        </w:rPr>
      </w:pPr>
    </w:p>
    <w:p w14:paraId="2143D612" w14:textId="77777777" w:rsidR="00FA7341" w:rsidRPr="00FA7341" w:rsidRDefault="00FA7341" w:rsidP="00FA7341">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1.  Asistir y al Departamento Administrativo de Función Pública de Cundinamarca en asuntos jurídicos y de contratación. </w:t>
      </w:r>
    </w:p>
    <w:p w14:paraId="42783E64" w14:textId="77777777" w:rsidR="00FA7341" w:rsidRPr="00FA7341" w:rsidRDefault="00FA7341" w:rsidP="00FA7341">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8.  Adelantar los trámites y procedimientos de naturaleza jurídica y administrativa, relacionados con las etapas precontractual, contractual y </w:t>
      </w:r>
      <w:proofErr w:type="spellStart"/>
      <w:r w:rsidRPr="00FA7341">
        <w:rPr>
          <w:rFonts w:ascii="Century Gothic" w:hAnsi="Century Gothic" w:cs="Arial"/>
          <w:color w:val="000000"/>
        </w:rPr>
        <w:t>postcontractual</w:t>
      </w:r>
      <w:proofErr w:type="spellEnd"/>
      <w:r w:rsidRPr="00FA7341">
        <w:rPr>
          <w:rFonts w:ascii="Century Gothic" w:hAnsi="Century Gothic" w:cs="Arial"/>
          <w:color w:val="000000"/>
        </w:rPr>
        <w:t>, de conformidad con la normatividad, los lineamientos impartidos por el Despacho del Departamento Administrativo y las directrices de la Dirección de Contratación.</w:t>
      </w:r>
    </w:p>
    <w:p w14:paraId="19FE519B" w14:textId="77777777" w:rsidR="00FA7341" w:rsidRPr="00FA7341" w:rsidRDefault="00FA7341" w:rsidP="00FA7341">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13.  Hacer seguimiento y velar por el cumplimiento por parte de la administración de los acuerdos y convenciones colectivas perfeccionados con las organizaciones sindicales.</w:t>
      </w:r>
    </w:p>
    <w:p w14:paraId="4C8D6187" w14:textId="77777777" w:rsidR="00FA7341" w:rsidRPr="00FA7341" w:rsidRDefault="00FA7341" w:rsidP="00FA7341">
      <w:pPr>
        <w:autoSpaceDE w:val="0"/>
        <w:autoSpaceDN w:val="0"/>
        <w:adjustRightInd w:val="0"/>
        <w:spacing w:after="0"/>
        <w:rPr>
          <w:rFonts w:ascii="Century Gothic" w:hAnsi="Century Gothic" w:cs="Arial"/>
          <w:color w:val="000000"/>
        </w:rPr>
      </w:pPr>
    </w:p>
    <w:p w14:paraId="66E3570D"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Que la obligación de suministrar la dotación de vestido y calzado de labor constituye una manifestación concreta de los principios constitucionales que orientan las relaciones laborales en el sector público, particularmente los contenidos en los artículos 1, 2, 25, 53 y 209 de la Constitución Política.</w:t>
      </w:r>
    </w:p>
    <w:p w14:paraId="3A8F73DA" w14:textId="77777777" w:rsidR="00FA7341" w:rsidRPr="00041903" w:rsidRDefault="00FA7341" w:rsidP="00FA7341">
      <w:pPr>
        <w:spacing w:after="0" w:line="240" w:lineRule="auto"/>
        <w:jc w:val="both"/>
        <w:rPr>
          <w:rFonts w:ascii="Century Gothic" w:hAnsi="Century Gothic" w:cs="Arial"/>
          <w:color w:val="000000"/>
        </w:rPr>
      </w:pPr>
    </w:p>
    <w:p w14:paraId="2C5C3BC7"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Que el artículo 25 de la Constitución establece que el trabajo es un derecho y una obligación social que goza, en todas sus modalidades, de la especial protección del Estado, debiendo desarrollarse en condiciones dignas y justas. En concordancia con ello, el artículo 53 Superior consagra como principios mínimos fundamentales la garantía de condiciones laborales adecuadas para los trabajadores.</w:t>
      </w:r>
    </w:p>
    <w:p w14:paraId="696E0301" w14:textId="77777777" w:rsidR="00FA7341" w:rsidRPr="00041903" w:rsidRDefault="00FA7341" w:rsidP="00FA7341">
      <w:pPr>
        <w:spacing w:after="0" w:line="240" w:lineRule="auto"/>
        <w:jc w:val="both"/>
        <w:rPr>
          <w:rFonts w:ascii="Century Gothic" w:hAnsi="Century Gothic" w:cs="Arial"/>
          <w:color w:val="000000"/>
        </w:rPr>
      </w:pPr>
    </w:p>
    <w:p w14:paraId="3C7622AB"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La Corte Constitucional definió la naturaleza jurídica de la dotación de calzado y vestido de labor como una prestación social, indicando en la sentencia C-995 de 2000:</w:t>
      </w:r>
    </w:p>
    <w:p w14:paraId="1B1CC3C7" w14:textId="77777777" w:rsidR="00FA7341" w:rsidRPr="00041903" w:rsidRDefault="00FA7341" w:rsidP="00FA7341">
      <w:pPr>
        <w:spacing w:after="0" w:line="240" w:lineRule="auto"/>
        <w:jc w:val="both"/>
        <w:rPr>
          <w:rFonts w:ascii="Century Gothic" w:hAnsi="Century Gothic" w:cs="Arial"/>
          <w:color w:val="000000"/>
        </w:rPr>
      </w:pPr>
    </w:p>
    <w:p w14:paraId="398F71F9" w14:textId="77777777" w:rsidR="00FA7341" w:rsidRPr="00041903" w:rsidRDefault="00FA7341" w:rsidP="00FA7341">
      <w:pPr>
        <w:spacing w:after="0" w:line="240" w:lineRule="auto"/>
        <w:jc w:val="both"/>
        <w:rPr>
          <w:rFonts w:ascii="Century Gothic" w:hAnsi="Century Gothic" w:cs="Arial"/>
          <w:i/>
          <w:iCs/>
          <w:color w:val="000000"/>
        </w:rPr>
      </w:pPr>
      <w:r w:rsidRPr="00041903">
        <w:rPr>
          <w:rFonts w:ascii="Century Gothic" w:hAnsi="Century Gothic" w:cs="Arial"/>
          <w:i/>
          <w:iCs/>
          <w:color w:val="000000"/>
        </w:rPr>
        <w:t xml:space="preserve">"La dotación de calzado y vestido de labor como obligación a cargo del empleador y a favor del trabajador, tiene la naturaleza jurídica de prestación social en cuanto consiste en un pago en especie hecho con el fin de cubrir la necesidad de indumentaria que se origina en la misma relación laboral". </w:t>
      </w:r>
    </w:p>
    <w:p w14:paraId="4F143EA3" w14:textId="77777777" w:rsidR="00FA7341" w:rsidRPr="00041903" w:rsidRDefault="00FA7341" w:rsidP="00FA7341">
      <w:pPr>
        <w:spacing w:after="0" w:line="240" w:lineRule="auto"/>
        <w:jc w:val="both"/>
        <w:rPr>
          <w:rFonts w:ascii="Century Gothic" w:hAnsi="Century Gothic" w:cs="Arial"/>
          <w:color w:val="000000"/>
        </w:rPr>
      </w:pPr>
    </w:p>
    <w:p w14:paraId="56B3E39B"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El Consejo de Estado, Sección Segunda, Sentencia del 15 de julio de 2021, Rad. 66001-23-33-000-2016-00951-01:</w:t>
      </w:r>
    </w:p>
    <w:p w14:paraId="4E2F9CD5" w14:textId="77777777" w:rsidR="00FA7341" w:rsidRPr="00041903" w:rsidRDefault="00FA7341" w:rsidP="00FA7341">
      <w:pPr>
        <w:spacing w:after="0" w:line="240" w:lineRule="auto"/>
        <w:jc w:val="both"/>
        <w:rPr>
          <w:rFonts w:ascii="Century Gothic" w:hAnsi="Century Gothic" w:cs="Arial"/>
          <w:color w:val="000000"/>
        </w:rPr>
      </w:pPr>
    </w:p>
    <w:p w14:paraId="13A063F5"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 xml:space="preserve">Reiteró que la dotación de calzado y vestido de labor constituye una prestación social y acogió la postura de la Corte Constitucional fijada en la Sentencia C-995 de 2000, destacando que su finalidad es cubrir las necesidades de indumentaria derivadas de la relación laboral y garantizar condiciones adecuadas para el desempeño de las funciones asignadas. </w:t>
      </w:r>
    </w:p>
    <w:p w14:paraId="0B2779E9" w14:textId="77777777" w:rsidR="00FA7341" w:rsidRPr="00041903" w:rsidRDefault="00FA7341" w:rsidP="00FA7341">
      <w:pPr>
        <w:spacing w:after="0" w:line="240" w:lineRule="auto"/>
        <w:jc w:val="both"/>
        <w:rPr>
          <w:rFonts w:ascii="Century Gothic" w:hAnsi="Century Gothic" w:cs="Arial"/>
          <w:color w:val="000000"/>
        </w:rPr>
      </w:pPr>
    </w:p>
    <w:p w14:paraId="047C9333" w14:textId="77777777" w:rsidR="00FA7341" w:rsidRPr="00041903" w:rsidRDefault="00FA7341" w:rsidP="00FA7341">
      <w:pPr>
        <w:spacing w:after="0" w:line="240" w:lineRule="auto"/>
        <w:jc w:val="both"/>
        <w:rPr>
          <w:rFonts w:ascii="Century Gothic" w:hAnsi="Century Gothic" w:cs="Arial"/>
          <w:color w:val="000000"/>
        </w:rPr>
      </w:pPr>
      <w:r w:rsidRPr="00041903">
        <w:rPr>
          <w:rFonts w:ascii="Century Gothic" w:hAnsi="Century Gothic" w:cs="Arial"/>
          <w:color w:val="000000"/>
        </w:rPr>
        <w:t xml:space="preserve">Que de conformidad con el artículo 1º de la Ley No. 70 del 19 de diciembre de 1988, el cual establece que </w:t>
      </w:r>
      <w:r w:rsidRPr="00041903">
        <w:rPr>
          <w:rFonts w:ascii="Century Gothic" w:hAnsi="Century Gothic" w:cs="Arial"/>
          <w:color w:val="000000"/>
          <w:u w:val="single"/>
        </w:rPr>
        <w:t xml:space="preserve">“los empleados del sector oficial que trabajan al </w:t>
      </w:r>
      <w:r w:rsidRPr="00041903">
        <w:rPr>
          <w:rFonts w:ascii="Century Gothic" w:hAnsi="Century Gothic" w:cs="Arial"/>
          <w:color w:val="000000"/>
          <w:u w:val="single"/>
        </w:rPr>
        <w:lastRenderedPageBreak/>
        <w:t xml:space="preserve">servicio de los Ministerios, Departamentos Administrativos, Superintendencias, Establecimientos Públicos, Unidades Administrativas Especiales, Empresas Industriales o Comerciales de tipo oficial y sociedades de economía mixta, tendrán derecho a que la entidad con que laboran les suministre cada cuatro (4) meses, en forma gratuita, un par de zapatos y un (1) vestido de labor, siempre que su remuneración mensual sea inferior a dos (2) veces el Salario Mínimo Legal Mensual Vigente. Esta prestación se reconocerá al empleado oficial que haya cumplido más de tres (3) meses al servicio de la entidad empleadora”, </w:t>
      </w:r>
      <w:r w:rsidRPr="00041903">
        <w:rPr>
          <w:rFonts w:ascii="Century Gothic" w:hAnsi="Century Gothic" w:cs="Arial"/>
          <w:color w:val="000000"/>
        </w:rPr>
        <w:t xml:space="preserve">en forma ininterrumpida antes de la fecha de cada suministro”, la cual deberá hacerse los días 30 de abril, 30 de agosto y 30 de diciembre de cada año. </w:t>
      </w:r>
    </w:p>
    <w:p w14:paraId="3A27BDCE" w14:textId="77777777" w:rsidR="00FA7341" w:rsidRPr="00041903" w:rsidRDefault="00FA7341" w:rsidP="00FA7341">
      <w:pPr>
        <w:spacing w:after="0" w:line="240" w:lineRule="auto"/>
        <w:jc w:val="both"/>
        <w:rPr>
          <w:rFonts w:ascii="Century Gothic" w:hAnsi="Century Gothic" w:cs="Arial"/>
          <w:color w:val="000000"/>
        </w:rPr>
      </w:pPr>
    </w:p>
    <w:p w14:paraId="454075D8" w14:textId="7965A368" w:rsidR="00D63D14" w:rsidRPr="00FA7341" w:rsidRDefault="00FA7341" w:rsidP="00FA7341">
      <w:pPr>
        <w:spacing w:after="0" w:line="240" w:lineRule="auto"/>
        <w:jc w:val="both"/>
        <w:rPr>
          <w:rFonts w:ascii="Century Gothic" w:hAnsi="Century Gothic" w:cs="Arial"/>
          <w:color w:val="000000"/>
        </w:rPr>
      </w:pPr>
      <w:r w:rsidRPr="00FA7341">
        <w:rPr>
          <w:rFonts w:ascii="Century Gothic" w:hAnsi="Century Gothic" w:cs="Arial"/>
          <w:color w:val="000000"/>
        </w:rPr>
        <w:t>Así mismo, el artículo 4 del Decreto No. 1978 del 31 de agosto de 1989, señala que la remuneración a efectos de tener derecho a la dotación corresponde a la asignación básica mensual; que se consideran como calzado y vestido de labor, las prendas apropiadas para la clase de labores que desempeñen los trabajadores beneficiarios, de acuerdo con el medio ambiente en donde cumplen sus actividades y, que los beneficiarios de la dotación quedan obligados a recibirlos debidamente y a destinarlos a su uso en las labores propias de su oficio, so pena de liberar a la empresa de la obligación correspondiente.</w:t>
      </w:r>
    </w:p>
    <w:p w14:paraId="789B62EE" w14:textId="77777777" w:rsidR="00630B14" w:rsidRPr="00FA7341" w:rsidRDefault="00630B14" w:rsidP="007369E7">
      <w:pPr>
        <w:suppressAutoHyphens/>
        <w:spacing w:after="0" w:line="240" w:lineRule="auto"/>
        <w:jc w:val="both"/>
        <w:rPr>
          <w:rFonts w:ascii="Century Gothic" w:hAnsi="Century Gothic" w:cs="Arial"/>
          <w:color w:val="000000" w:themeColor="text1"/>
          <w:highlight w:val="darkGray"/>
        </w:rPr>
      </w:pPr>
    </w:p>
    <w:p w14:paraId="7C2F4675" w14:textId="3D60C11C" w:rsidR="001358D6" w:rsidRPr="00FA7341" w:rsidRDefault="00CA5D65" w:rsidP="009B016D">
      <w:pPr>
        <w:pStyle w:val="Ttulo2"/>
        <w:widowControl w:val="0"/>
        <w:numPr>
          <w:ilvl w:val="1"/>
          <w:numId w:val="12"/>
        </w:numPr>
        <w:shd w:val="clear" w:color="auto" w:fill="002060"/>
        <w:autoSpaceDE w:val="0"/>
        <w:autoSpaceDN w:val="0"/>
        <w:spacing w:before="0" w:line="240" w:lineRule="auto"/>
        <w:rPr>
          <w:rFonts w:ascii="Century Gothic" w:hAnsi="Century Gothic" w:cs="Arial"/>
          <w:color w:val="FFFFFF"/>
          <w:sz w:val="22"/>
          <w:szCs w:val="22"/>
        </w:rPr>
      </w:pPr>
      <w:bookmarkStart w:id="29" w:name="_Toc170823895"/>
      <w:r w:rsidRPr="00FA7341">
        <w:rPr>
          <w:rFonts w:ascii="Century Gothic" w:hAnsi="Century Gothic" w:cs="Arial"/>
          <w:color w:val="FFFFFF"/>
          <w:sz w:val="22"/>
          <w:szCs w:val="22"/>
        </w:rPr>
        <w:t xml:space="preserve"> </w:t>
      </w:r>
      <w:bookmarkStart w:id="30" w:name="_Toc232673898"/>
      <w:r w:rsidR="001358D6" w:rsidRPr="00FA7341">
        <w:rPr>
          <w:rFonts w:ascii="Century Gothic" w:hAnsi="Century Gothic" w:cs="Arial"/>
          <w:color w:val="FFFFFF"/>
          <w:sz w:val="22"/>
          <w:szCs w:val="22"/>
        </w:rPr>
        <w:t>COMPORTAMIENTO DEL GASTO HISTÓRICO</w:t>
      </w:r>
      <w:bookmarkEnd w:id="29"/>
      <w:bookmarkEnd w:id="30"/>
    </w:p>
    <w:p w14:paraId="3CAEFC67" w14:textId="77777777" w:rsidR="001358D6" w:rsidRPr="00FA7341" w:rsidRDefault="001358D6" w:rsidP="007369E7">
      <w:pPr>
        <w:spacing w:after="0" w:line="240" w:lineRule="auto"/>
        <w:jc w:val="both"/>
        <w:rPr>
          <w:rFonts w:ascii="Century Gothic" w:hAnsi="Century Gothic" w:cs="Arial"/>
          <w:color w:val="000000"/>
        </w:rPr>
      </w:pPr>
    </w:p>
    <w:p w14:paraId="6B233E07" w14:textId="5B999DC4" w:rsidR="008D522D" w:rsidRDefault="002550C3" w:rsidP="007369E7">
      <w:pPr>
        <w:spacing w:after="0" w:line="240" w:lineRule="auto"/>
        <w:jc w:val="both"/>
        <w:rPr>
          <w:rFonts w:ascii="Century Gothic" w:eastAsia="Arial" w:hAnsi="Century Gothic" w:cs="Arial"/>
          <w:color w:val="000000"/>
        </w:rPr>
      </w:pPr>
      <w:r w:rsidRPr="00FA7341">
        <w:rPr>
          <w:rFonts w:ascii="Century Gothic" w:hAnsi="Century Gothic" w:cs="Arial"/>
        </w:rPr>
        <w:t xml:space="preserve">Teniendo en cuenta la necesidad que pretende satisfacer </w:t>
      </w:r>
      <w:r w:rsidR="00ED4E1B" w:rsidRPr="00FA7341">
        <w:rPr>
          <w:rFonts w:ascii="Century Gothic" w:hAnsi="Century Gothic" w:cs="Arial"/>
        </w:rPr>
        <w:t>el Departamento</w:t>
      </w:r>
      <w:r w:rsidR="007E35FC" w:rsidRPr="00FA7341">
        <w:rPr>
          <w:rFonts w:ascii="Century Gothic" w:hAnsi="Century Gothic" w:cs="Arial"/>
        </w:rPr>
        <w:t xml:space="preserve"> de Cundinamarca </w:t>
      </w:r>
      <w:r w:rsidRPr="00FA7341">
        <w:rPr>
          <w:rFonts w:ascii="Century Gothic" w:hAnsi="Century Gothic" w:cs="Arial"/>
        </w:rPr>
        <w:t>con el proceso d</w:t>
      </w:r>
      <w:r w:rsidR="00863C2B" w:rsidRPr="00FA7341">
        <w:rPr>
          <w:rFonts w:ascii="Century Gothic" w:hAnsi="Century Gothic" w:cs="Arial"/>
        </w:rPr>
        <w:t xml:space="preserve">e suministro de dotación </w:t>
      </w:r>
      <w:r w:rsidRPr="00FA7341">
        <w:rPr>
          <w:rFonts w:ascii="Century Gothic" w:hAnsi="Century Gothic" w:cs="Arial"/>
        </w:rPr>
        <w:t xml:space="preserve">de </w:t>
      </w:r>
      <w:r w:rsidR="00863C2B" w:rsidRPr="00FA7341">
        <w:rPr>
          <w:rFonts w:ascii="Century Gothic" w:hAnsi="Century Gothic" w:cs="Arial"/>
        </w:rPr>
        <w:t xml:space="preserve">agentes de tránsito, de </w:t>
      </w:r>
      <w:r w:rsidRPr="00FA7341">
        <w:rPr>
          <w:rFonts w:ascii="Century Gothic" w:hAnsi="Century Gothic" w:cs="Arial"/>
        </w:rPr>
        <w:t xml:space="preserve">este análisis del sector, a continuación, se detalla información de contratos suscritos por la Entidad </w:t>
      </w:r>
      <w:r w:rsidR="00732571" w:rsidRPr="00FA7341">
        <w:rPr>
          <w:rFonts w:ascii="Century Gothic" w:hAnsi="Century Gothic" w:cs="Arial"/>
        </w:rPr>
        <w:t>desde</w:t>
      </w:r>
      <w:r w:rsidR="00863C2B" w:rsidRPr="00FA7341">
        <w:rPr>
          <w:rFonts w:ascii="Century Gothic" w:hAnsi="Century Gothic" w:cs="Arial"/>
        </w:rPr>
        <w:t xml:space="preserve"> 202</w:t>
      </w:r>
      <w:r w:rsidR="00D30BCC" w:rsidRPr="00FA7341">
        <w:rPr>
          <w:rFonts w:ascii="Century Gothic" w:hAnsi="Century Gothic" w:cs="Arial"/>
        </w:rPr>
        <w:t>4</w:t>
      </w:r>
      <w:r w:rsidRPr="00FA7341">
        <w:rPr>
          <w:rFonts w:ascii="Century Gothic" w:hAnsi="Century Gothic" w:cs="Arial"/>
        </w:rPr>
        <w:t>, relacionados con</w:t>
      </w:r>
      <w:r w:rsidR="00863C2B" w:rsidRPr="00FA7341">
        <w:rPr>
          <w:rFonts w:ascii="Century Gothic" w:hAnsi="Century Gothic" w:cs="Arial"/>
        </w:rPr>
        <w:t xml:space="preserve"> el </w:t>
      </w:r>
      <w:r w:rsidR="008D522D" w:rsidRPr="008D522D">
        <w:rPr>
          <w:rFonts w:ascii="Century Gothic" w:eastAsia="Arial" w:hAnsi="Century Gothic" w:cs="Arial"/>
          <w:color w:val="000000"/>
        </w:rPr>
        <w:t>ADQUISICIÓN DE BONOS O TARJETAS CANJEABLES EXCLUSIVAMENTE PARA COMPRA DE VESTUARIO Y CALZADO DE LABOR, PARA LOS SERVIDORES PÚBLICOS DE LA GOBERNACIÓN DE CUNDINAMARCA, QUE TENGAN DERECHO A LA DOTACIÓN.</w:t>
      </w:r>
    </w:p>
    <w:p w14:paraId="48044C28" w14:textId="77777777" w:rsidR="007D400B" w:rsidRPr="008D522D" w:rsidRDefault="007D400B" w:rsidP="007369E7">
      <w:pPr>
        <w:spacing w:after="0" w:line="240" w:lineRule="auto"/>
        <w:jc w:val="both"/>
        <w:rPr>
          <w:rFonts w:ascii="Century Gothic" w:eastAsia="Arial" w:hAnsi="Century Gothic" w:cs="Arial"/>
          <w:color w:val="000000"/>
        </w:rPr>
      </w:pPr>
    </w:p>
    <w:p w14:paraId="7272AE6F" w14:textId="7EA8ED5C" w:rsidR="002550C3" w:rsidRPr="00FA7341" w:rsidRDefault="002550C3" w:rsidP="007369E7">
      <w:pPr>
        <w:pStyle w:val="Descripcin"/>
        <w:spacing w:after="0"/>
        <w:jc w:val="center"/>
        <w:rPr>
          <w:rFonts w:ascii="Century Gothic" w:hAnsi="Century Gothic" w:cs="Arial"/>
          <w:color w:val="002060"/>
          <w:sz w:val="22"/>
          <w:szCs w:val="22"/>
        </w:rPr>
      </w:pPr>
      <w:bookmarkStart w:id="31" w:name="_Toc192773261"/>
      <w:r w:rsidRPr="00FA7341">
        <w:rPr>
          <w:rFonts w:ascii="Century Gothic" w:hAnsi="Century Gothic" w:cs="Arial"/>
          <w:color w:val="002060"/>
          <w:sz w:val="22"/>
          <w:szCs w:val="22"/>
        </w:rPr>
        <w:t xml:space="preserve">Tabla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Tabla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5</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Contratos relacionados suscritos por </w:t>
      </w:r>
      <w:r w:rsidR="00ED4E1B" w:rsidRPr="00FA7341">
        <w:rPr>
          <w:rFonts w:ascii="Century Gothic" w:hAnsi="Century Gothic" w:cs="Arial"/>
          <w:color w:val="002060"/>
          <w:sz w:val="22"/>
          <w:szCs w:val="22"/>
        </w:rPr>
        <w:t>el Departamento</w:t>
      </w:r>
      <w:r w:rsidR="007C0C5E" w:rsidRPr="00FA7341">
        <w:rPr>
          <w:rFonts w:ascii="Century Gothic" w:hAnsi="Century Gothic" w:cs="Arial"/>
          <w:color w:val="002060"/>
          <w:sz w:val="22"/>
          <w:szCs w:val="22"/>
        </w:rPr>
        <w:t xml:space="preserve"> de Cundinamarca</w:t>
      </w:r>
      <w:bookmarkEnd w:id="31"/>
    </w:p>
    <w:p w14:paraId="3236C6E0" w14:textId="77777777" w:rsidR="00FA7341" w:rsidRPr="00FA7341" w:rsidRDefault="00FA7341" w:rsidP="007369E7">
      <w:pPr>
        <w:spacing w:after="0"/>
        <w:jc w:val="center"/>
        <w:rPr>
          <w:rFonts w:ascii="Century Gothic" w:hAnsi="Century Gothic" w:cs="Arial"/>
          <w:bCs/>
          <w:i/>
          <w:iCs/>
          <w:color w:val="000000"/>
        </w:rPr>
      </w:pPr>
    </w:p>
    <w:tbl>
      <w:tblPr>
        <w:tblW w:w="8720" w:type="dxa"/>
        <w:tblInd w:w="75" w:type="dxa"/>
        <w:tblCellMar>
          <w:left w:w="70" w:type="dxa"/>
          <w:right w:w="70" w:type="dxa"/>
        </w:tblCellMar>
        <w:tblLook w:val="04A0" w:firstRow="1" w:lastRow="0" w:firstColumn="1" w:lastColumn="0" w:noHBand="0" w:noVBand="1"/>
      </w:tblPr>
      <w:tblGrid>
        <w:gridCol w:w="2618"/>
        <w:gridCol w:w="1758"/>
        <w:gridCol w:w="3027"/>
        <w:gridCol w:w="1350"/>
      </w:tblGrid>
      <w:tr w:rsidR="00FA7341" w:rsidRPr="00FA7341" w14:paraId="144D6625" w14:textId="77777777" w:rsidTr="00FA7341">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4E055974" w14:textId="77777777" w:rsidR="00FA7341" w:rsidRPr="00FA7341" w:rsidRDefault="00FA7341" w:rsidP="00C816B0">
            <w:pPr>
              <w:spacing w:after="0" w:line="240" w:lineRule="auto"/>
              <w:rPr>
                <w:rFonts w:ascii="Century Gothic" w:eastAsia="Times New Roman" w:hAnsi="Century Gothic"/>
                <w:b/>
                <w:bCs/>
                <w:color w:val="000000"/>
                <w:lang w:eastAsia="es-CO"/>
              </w:rPr>
            </w:pPr>
            <w:r w:rsidRPr="00FA7341">
              <w:rPr>
                <w:rFonts w:ascii="Century Gothic" w:eastAsia="Times New Roman" w:hAnsi="Century Gothic"/>
                <w:b/>
                <w:bCs/>
                <w:color w:val="000000"/>
                <w:lang w:eastAsia="es-CO"/>
              </w:rPr>
              <w:t xml:space="preserve">No proceso </w:t>
            </w:r>
          </w:p>
        </w:tc>
        <w:tc>
          <w:tcPr>
            <w:tcW w:w="1560" w:type="dxa"/>
            <w:tcBorders>
              <w:top w:val="single" w:sz="4" w:space="0" w:color="auto"/>
              <w:left w:val="nil"/>
              <w:bottom w:val="single" w:sz="4" w:space="0" w:color="auto"/>
              <w:right w:val="single" w:sz="4" w:space="0" w:color="auto"/>
            </w:tcBorders>
            <w:shd w:val="clear" w:color="auto" w:fill="0070C0"/>
            <w:noWrap/>
            <w:vAlign w:val="bottom"/>
            <w:hideMark/>
          </w:tcPr>
          <w:p w14:paraId="3E45A7C2" w14:textId="77777777" w:rsidR="00FA7341" w:rsidRPr="00FA7341" w:rsidRDefault="00FA7341" w:rsidP="00C816B0">
            <w:pPr>
              <w:spacing w:after="0" w:line="240" w:lineRule="auto"/>
              <w:rPr>
                <w:rFonts w:ascii="Century Gothic" w:eastAsia="Times New Roman" w:hAnsi="Century Gothic"/>
                <w:b/>
                <w:bCs/>
                <w:color w:val="000000"/>
                <w:lang w:eastAsia="es-CO"/>
              </w:rPr>
            </w:pPr>
            <w:r w:rsidRPr="00FA7341">
              <w:rPr>
                <w:rFonts w:ascii="Century Gothic" w:eastAsia="Times New Roman" w:hAnsi="Century Gothic"/>
                <w:b/>
                <w:bCs/>
                <w:color w:val="000000"/>
                <w:lang w:eastAsia="es-CO"/>
              </w:rPr>
              <w:t xml:space="preserve">Valor </w:t>
            </w:r>
          </w:p>
        </w:tc>
        <w:tc>
          <w:tcPr>
            <w:tcW w:w="3100" w:type="dxa"/>
            <w:tcBorders>
              <w:top w:val="single" w:sz="4" w:space="0" w:color="auto"/>
              <w:left w:val="nil"/>
              <w:bottom w:val="single" w:sz="4" w:space="0" w:color="auto"/>
              <w:right w:val="single" w:sz="4" w:space="0" w:color="auto"/>
            </w:tcBorders>
            <w:shd w:val="clear" w:color="auto" w:fill="0070C0"/>
            <w:noWrap/>
            <w:vAlign w:val="bottom"/>
            <w:hideMark/>
          </w:tcPr>
          <w:p w14:paraId="1141978B" w14:textId="77777777" w:rsidR="00FA7341" w:rsidRPr="00FA7341" w:rsidRDefault="00FA7341" w:rsidP="00C816B0">
            <w:pPr>
              <w:spacing w:after="0" w:line="240" w:lineRule="auto"/>
              <w:rPr>
                <w:rFonts w:ascii="Century Gothic" w:eastAsia="Times New Roman" w:hAnsi="Century Gothic"/>
                <w:b/>
                <w:bCs/>
                <w:color w:val="000000"/>
                <w:lang w:eastAsia="es-CO"/>
              </w:rPr>
            </w:pPr>
            <w:r w:rsidRPr="00FA7341">
              <w:rPr>
                <w:rFonts w:ascii="Century Gothic" w:eastAsia="Times New Roman" w:hAnsi="Century Gothic"/>
                <w:b/>
                <w:bCs/>
                <w:color w:val="000000"/>
                <w:lang w:eastAsia="es-CO"/>
              </w:rPr>
              <w:t xml:space="preserve">Objeto </w:t>
            </w:r>
          </w:p>
        </w:tc>
        <w:tc>
          <w:tcPr>
            <w:tcW w:w="1380" w:type="dxa"/>
            <w:tcBorders>
              <w:top w:val="single" w:sz="4" w:space="0" w:color="auto"/>
              <w:left w:val="nil"/>
              <w:bottom w:val="single" w:sz="4" w:space="0" w:color="auto"/>
              <w:right w:val="single" w:sz="4" w:space="0" w:color="auto"/>
            </w:tcBorders>
            <w:shd w:val="clear" w:color="auto" w:fill="0070C0"/>
            <w:noWrap/>
            <w:vAlign w:val="bottom"/>
            <w:hideMark/>
          </w:tcPr>
          <w:p w14:paraId="1C5F6FB6" w14:textId="77777777" w:rsidR="00FA7341" w:rsidRPr="00FA7341" w:rsidRDefault="00FA7341" w:rsidP="00C816B0">
            <w:pPr>
              <w:spacing w:after="0" w:line="240" w:lineRule="auto"/>
              <w:rPr>
                <w:rFonts w:ascii="Century Gothic" w:eastAsia="Times New Roman" w:hAnsi="Century Gothic"/>
                <w:b/>
                <w:bCs/>
                <w:color w:val="000000"/>
                <w:lang w:eastAsia="es-CO"/>
              </w:rPr>
            </w:pPr>
            <w:r w:rsidRPr="00FA7341">
              <w:rPr>
                <w:rFonts w:ascii="Century Gothic" w:eastAsia="Times New Roman" w:hAnsi="Century Gothic"/>
                <w:b/>
                <w:bCs/>
                <w:color w:val="000000"/>
                <w:lang w:eastAsia="es-CO"/>
              </w:rPr>
              <w:t>Plazo</w:t>
            </w:r>
          </w:p>
        </w:tc>
      </w:tr>
      <w:tr w:rsidR="00FA7341" w:rsidRPr="00FA7341" w14:paraId="613F7099" w14:textId="77777777" w:rsidTr="00C816B0">
        <w:trPr>
          <w:trHeight w:val="3435"/>
        </w:trPr>
        <w:tc>
          <w:tcPr>
            <w:tcW w:w="2680" w:type="dxa"/>
            <w:tcBorders>
              <w:top w:val="nil"/>
              <w:left w:val="single" w:sz="4" w:space="0" w:color="auto"/>
              <w:bottom w:val="single" w:sz="4" w:space="0" w:color="auto"/>
              <w:right w:val="single" w:sz="4" w:space="0" w:color="auto"/>
            </w:tcBorders>
            <w:noWrap/>
            <w:vAlign w:val="center"/>
            <w:hideMark/>
          </w:tcPr>
          <w:p w14:paraId="785468CA"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lastRenderedPageBreak/>
              <w:t>DAFPC-MC-CV-059-2025</w:t>
            </w:r>
          </w:p>
        </w:tc>
        <w:tc>
          <w:tcPr>
            <w:tcW w:w="1560" w:type="dxa"/>
            <w:tcBorders>
              <w:top w:val="nil"/>
              <w:left w:val="nil"/>
              <w:bottom w:val="single" w:sz="4" w:space="0" w:color="auto"/>
              <w:right w:val="single" w:sz="4" w:space="0" w:color="auto"/>
            </w:tcBorders>
            <w:noWrap/>
            <w:vAlign w:val="center"/>
            <w:hideMark/>
          </w:tcPr>
          <w:p w14:paraId="5944F4EF"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71.913.708 COP</w:t>
            </w:r>
          </w:p>
        </w:tc>
        <w:tc>
          <w:tcPr>
            <w:tcW w:w="3100" w:type="dxa"/>
            <w:tcBorders>
              <w:top w:val="nil"/>
              <w:left w:val="nil"/>
              <w:bottom w:val="single" w:sz="4" w:space="0" w:color="auto"/>
              <w:right w:val="single" w:sz="4" w:space="0" w:color="auto"/>
            </w:tcBorders>
            <w:vAlign w:val="center"/>
            <w:hideMark/>
          </w:tcPr>
          <w:p w14:paraId="45754FDD"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ADQUISICIÓN DE BONOS O TARJETAS CANJEABLES EXCLUSIVAMENTE PARA COMPRA DE VESTUARIO Y CALZADO DE LABOR, PARA LOS SERVIDORES PÚBLICOS DE LA GOBERNACIÓN DE CUNDINAMARCA</w:t>
            </w:r>
          </w:p>
        </w:tc>
        <w:tc>
          <w:tcPr>
            <w:tcW w:w="1380" w:type="dxa"/>
            <w:tcBorders>
              <w:top w:val="nil"/>
              <w:left w:val="nil"/>
              <w:bottom w:val="single" w:sz="4" w:space="0" w:color="auto"/>
              <w:right w:val="single" w:sz="4" w:space="0" w:color="auto"/>
            </w:tcBorders>
            <w:noWrap/>
            <w:vAlign w:val="center"/>
            <w:hideMark/>
          </w:tcPr>
          <w:p w14:paraId="40859F5C"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1 (Meses)</w:t>
            </w:r>
          </w:p>
        </w:tc>
      </w:tr>
      <w:tr w:rsidR="00FA7341" w:rsidRPr="00FA7341" w14:paraId="7FD0E631" w14:textId="77777777" w:rsidTr="00C816B0">
        <w:trPr>
          <w:trHeight w:val="2595"/>
        </w:trPr>
        <w:tc>
          <w:tcPr>
            <w:tcW w:w="2680" w:type="dxa"/>
            <w:tcBorders>
              <w:top w:val="nil"/>
              <w:left w:val="single" w:sz="4" w:space="0" w:color="auto"/>
              <w:bottom w:val="single" w:sz="4" w:space="0" w:color="auto"/>
              <w:right w:val="single" w:sz="4" w:space="0" w:color="auto"/>
            </w:tcBorders>
            <w:noWrap/>
            <w:vAlign w:val="center"/>
            <w:hideMark/>
          </w:tcPr>
          <w:p w14:paraId="59CF982A"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SFP-CMC-033-2024</w:t>
            </w:r>
          </w:p>
        </w:tc>
        <w:tc>
          <w:tcPr>
            <w:tcW w:w="1560" w:type="dxa"/>
            <w:tcBorders>
              <w:top w:val="nil"/>
              <w:left w:val="nil"/>
              <w:bottom w:val="single" w:sz="4" w:space="0" w:color="auto"/>
              <w:right w:val="single" w:sz="4" w:space="0" w:color="auto"/>
            </w:tcBorders>
            <w:noWrap/>
            <w:vAlign w:val="center"/>
            <w:hideMark/>
          </w:tcPr>
          <w:p w14:paraId="0C0D6365"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66.649.380 COP</w:t>
            </w:r>
          </w:p>
        </w:tc>
        <w:tc>
          <w:tcPr>
            <w:tcW w:w="3100" w:type="dxa"/>
            <w:tcBorders>
              <w:top w:val="nil"/>
              <w:left w:val="nil"/>
              <w:bottom w:val="single" w:sz="4" w:space="0" w:color="auto"/>
              <w:right w:val="single" w:sz="4" w:space="0" w:color="auto"/>
            </w:tcBorders>
            <w:vAlign w:val="center"/>
            <w:hideMark/>
          </w:tcPr>
          <w:p w14:paraId="78AACEE3"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ADQUISICIÓN DE BONOS O TARJETAS CANJEABLES EXCLUSIVAMENTE PARA COMPRA DE VESTUARIO Y CALZADO DE LABOR, PARA LOS SERVIDORES PÚBLICOS DE LA GOBERNACIÓN DE CUNDINAMARCA, QUE TENGAN DERECHO A LA DOTACIÓN CORRESPONDIENTE EN LA VIGENCIA 2024</w:t>
            </w:r>
          </w:p>
        </w:tc>
        <w:tc>
          <w:tcPr>
            <w:tcW w:w="1380" w:type="dxa"/>
            <w:tcBorders>
              <w:top w:val="nil"/>
              <w:left w:val="nil"/>
              <w:bottom w:val="single" w:sz="4" w:space="0" w:color="auto"/>
              <w:right w:val="single" w:sz="4" w:space="0" w:color="auto"/>
            </w:tcBorders>
            <w:noWrap/>
            <w:vAlign w:val="center"/>
            <w:hideMark/>
          </w:tcPr>
          <w:p w14:paraId="4BCFD951" w14:textId="77777777" w:rsidR="00FA7341" w:rsidRPr="00FA7341" w:rsidRDefault="00FA7341" w:rsidP="00C816B0">
            <w:pPr>
              <w:spacing w:after="0" w:line="240" w:lineRule="auto"/>
              <w:rPr>
                <w:rFonts w:ascii="Century Gothic" w:eastAsia="Times New Roman" w:hAnsi="Century Gothic"/>
                <w:color w:val="000000"/>
                <w:lang w:eastAsia="es-CO"/>
              </w:rPr>
            </w:pPr>
            <w:r w:rsidRPr="00FA7341">
              <w:rPr>
                <w:rFonts w:ascii="Century Gothic" w:eastAsia="Times New Roman" w:hAnsi="Century Gothic"/>
                <w:color w:val="000000"/>
                <w:lang w:eastAsia="es-CO"/>
              </w:rPr>
              <w:t>1 (Meses)</w:t>
            </w:r>
          </w:p>
        </w:tc>
      </w:tr>
    </w:tbl>
    <w:p w14:paraId="75796ADB" w14:textId="77777777" w:rsidR="00FA7341" w:rsidRPr="00FA7341" w:rsidRDefault="00FA7341" w:rsidP="007369E7">
      <w:pPr>
        <w:spacing w:after="0"/>
        <w:jc w:val="center"/>
        <w:rPr>
          <w:rFonts w:ascii="Century Gothic" w:hAnsi="Century Gothic" w:cs="Arial"/>
          <w:bCs/>
          <w:i/>
          <w:iCs/>
          <w:color w:val="000000"/>
        </w:rPr>
      </w:pPr>
    </w:p>
    <w:p w14:paraId="750139BA" w14:textId="7A78559D" w:rsidR="002550C3" w:rsidRPr="00FA7341" w:rsidRDefault="002550C3" w:rsidP="007369E7">
      <w:pPr>
        <w:spacing w:after="0"/>
        <w:jc w:val="center"/>
        <w:rPr>
          <w:rFonts w:ascii="Century Gothic" w:hAnsi="Century Gothic" w:cs="Arial"/>
          <w:bCs/>
          <w:i/>
          <w:iCs/>
          <w:color w:val="000000"/>
        </w:rPr>
      </w:pPr>
      <w:r w:rsidRPr="00FA7341">
        <w:rPr>
          <w:rFonts w:ascii="Century Gothic" w:hAnsi="Century Gothic" w:cs="Arial"/>
          <w:bCs/>
          <w:i/>
          <w:iCs/>
          <w:color w:val="000000"/>
        </w:rPr>
        <w:t>Fuente: elaboración propia (</w:t>
      </w:r>
      <w:r w:rsidR="00ED4E1B" w:rsidRPr="00FA7341">
        <w:rPr>
          <w:rFonts w:ascii="Century Gothic" w:hAnsi="Century Gothic" w:cs="Arial"/>
          <w:bCs/>
          <w:i/>
          <w:iCs/>
          <w:color w:val="000000"/>
        </w:rPr>
        <w:t>Departamento</w:t>
      </w:r>
      <w:r w:rsidR="007C0C5E" w:rsidRPr="00FA7341">
        <w:rPr>
          <w:rFonts w:ascii="Century Gothic" w:hAnsi="Century Gothic" w:cs="Arial"/>
          <w:bCs/>
          <w:i/>
          <w:iCs/>
          <w:color w:val="000000"/>
        </w:rPr>
        <w:t xml:space="preserve"> de Cundinamarca</w:t>
      </w:r>
      <w:r w:rsidRPr="00FA7341">
        <w:rPr>
          <w:rFonts w:ascii="Century Gothic" w:hAnsi="Century Gothic" w:cs="Arial"/>
          <w:bCs/>
          <w:i/>
          <w:iCs/>
          <w:color w:val="000000"/>
        </w:rPr>
        <w:t>)</w:t>
      </w:r>
    </w:p>
    <w:p w14:paraId="4B10905A" w14:textId="77777777" w:rsidR="002550C3" w:rsidRPr="00FA7341" w:rsidRDefault="002550C3" w:rsidP="007369E7">
      <w:pPr>
        <w:spacing w:after="0" w:line="240" w:lineRule="auto"/>
        <w:jc w:val="both"/>
        <w:rPr>
          <w:rFonts w:ascii="Century Gothic" w:hAnsi="Century Gothic" w:cs="Arial"/>
          <w:color w:val="000000"/>
        </w:rPr>
      </w:pPr>
    </w:p>
    <w:p w14:paraId="557EA93B" w14:textId="5B955FC4" w:rsidR="00732571" w:rsidRPr="00FA7341" w:rsidRDefault="002550C3" w:rsidP="007369E7">
      <w:pPr>
        <w:spacing w:after="0" w:line="240" w:lineRule="auto"/>
        <w:jc w:val="both"/>
        <w:rPr>
          <w:rFonts w:ascii="Century Gothic" w:hAnsi="Century Gothic" w:cs="Arial"/>
          <w:color w:val="000000"/>
        </w:rPr>
      </w:pPr>
      <w:r w:rsidRPr="00FA7341">
        <w:rPr>
          <w:rFonts w:ascii="Century Gothic" w:hAnsi="Century Gothic" w:cs="Arial"/>
          <w:color w:val="000000"/>
        </w:rPr>
        <w:t xml:space="preserve">Se observa que </w:t>
      </w:r>
      <w:r w:rsidR="00732571" w:rsidRPr="00FA7341">
        <w:rPr>
          <w:rFonts w:ascii="Century Gothic" w:hAnsi="Century Gothic" w:cs="Arial"/>
          <w:color w:val="000000"/>
        </w:rPr>
        <w:t>los</w:t>
      </w:r>
      <w:r w:rsidRPr="00FA7341">
        <w:rPr>
          <w:rFonts w:ascii="Century Gothic" w:hAnsi="Century Gothic" w:cs="Arial"/>
          <w:color w:val="000000"/>
        </w:rPr>
        <w:t xml:space="preserve"> </w:t>
      </w:r>
      <w:r w:rsidR="00732571" w:rsidRPr="00FA7341">
        <w:rPr>
          <w:rFonts w:ascii="Century Gothic" w:hAnsi="Century Gothic" w:cs="Arial"/>
          <w:color w:val="000000"/>
        </w:rPr>
        <w:t>últimos procesos</w:t>
      </w:r>
      <w:r w:rsidRPr="00FA7341">
        <w:rPr>
          <w:rFonts w:ascii="Century Gothic" w:hAnsi="Century Gothic" w:cs="Arial"/>
          <w:color w:val="000000"/>
        </w:rPr>
        <w:t xml:space="preserve"> de contratación adelantado</w:t>
      </w:r>
      <w:r w:rsidR="00732571" w:rsidRPr="00FA7341">
        <w:rPr>
          <w:rFonts w:ascii="Century Gothic" w:hAnsi="Century Gothic" w:cs="Arial"/>
          <w:color w:val="000000"/>
        </w:rPr>
        <w:t>s</w:t>
      </w:r>
      <w:r w:rsidRPr="00FA7341">
        <w:rPr>
          <w:rFonts w:ascii="Century Gothic" w:hAnsi="Century Gothic" w:cs="Arial"/>
          <w:color w:val="000000"/>
        </w:rPr>
        <w:t xml:space="preserve"> por </w:t>
      </w:r>
      <w:r w:rsidR="00ED4E1B" w:rsidRPr="00FA7341">
        <w:rPr>
          <w:rFonts w:ascii="Century Gothic" w:hAnsi="Century Gothic" w:cs="Arial"/>
          <w:color w:val="000000"/>
        </w:rPr>
        <w:t>el Departamento</w:t>
      </w:r>
      <w:r w:rsidR="007C0C5E" w:rsidRPr="00FA7341">
        <w:rPr>
          <w:rFonts w:ascii="Century Gothic" w:hAnsi="Century Gothic" w:cs="Arial"/>
          <w:color w:val="000000"/>
        </w:rPr>
        <w:t xml:space="preserve"> de Cundinamarca</w:t>
      </w:r>
      <w:r w:rsidRPr="00FA7341">
        <w:rPr>
          <w:rFonts w:ascii="Century Gothic" w:hAnsi="Century Gothic" w:cs="Arial"/>
          <w:color w:val="000000"/>
        </w:rPr>
        <w:t xml:space="preserve"> donde hay relación con</w:t>
      </w:r>
      <w:r w:rsidR="009B016D" w:rsidRPr="00FA7341">
        <w:rPr>
          <w:rFonts w:ascii="Century Gothic" w:hAnsi="Century Gothic" w:cs="Arial"/>
          <w:color w:val="000000"/>
        </w:rPr>
        <w:t xml:space="preserve"> </w:t>
      </w:r>
      <w:r w:rsidR="00812BC6" w:rsidRPr="00FA7341">
        <w:rPr>
          <w:rFonts w:ascii="Century Gothic" w:hAnsi="Century Gothic" w:cs="Arial"/>
          <w:color w:val="000000"/>
        </w:rPr>
        <w:t>el “</w:t>
      </w:r>
      <w:r w:rsidR="00FA7341" w:rsidRPr="00FA7341">
        <w:rPr>
          <w:rFonts w:ascii="Century Gothic" w:eastAsia="Arial" w:hAnsi="Century Gothic" w:cs="Arial"/>
          <w:color w:val="000000"/>
        </w:rPr>
        <w:t>ADQUISICIÓN DE BONOS O TARJETAS CANJEABLES EXCLUSIVAMENTE PARA COMPRA DE VESTUARIO Y CALZADO DE LABOR, PARA LOS SERVIDORES PÚBLICOS DE LA GOBERNACIÓN DE CUNDINAMARCA</w:t>
      </w:r>
      <w:r w:rsidR="00FA7341">
        <w:rPr>
          <w:rFonts w:ascii="Century Gothic" w:eastAsia="Arial" w:hAnsi="Century Gothic" w:cs="Arial"/>
          <w:color w:val="000000"/>
        </w:rPr>
        <w:t>”</w:t>
      </w:r>
      <w:r w:rsidR="009B016D" w:rsidRPr="00FA7341">
        <w:rPr>
          <w:rFonts w:ascii="Century Gothic" w:hAnsi="Century Gothic" w:cs="Arial"/>
          <w:color w:val="FFFFFF" w:themeColor="background1"/>
        </w:rPr>
        <w:t xml:space="preserve"> </w:t>
      </w:r>
      <w:r w:rsidRPr="00FA7341">
        <w:rPr>
          <w:rFonts w:ascii="Century Gothic" w:hAnsi="Century Gothic" w:cs="Arial"/>
          <w:color w:val="000000"/>
        </w:rPr>
        <w:t>obedece a</w:t>
      </w:r>
      <w:r w:rsidR="00732571" w:rsidRPr="00FA7341">
        <w:rPr>
          <w:rFonts w:ascii="Century Gothic" w:hAnsi="Century Gothic" w:cs="Arial"/>
          <w:color w:val="000000"/>
        </w:rPr>
        <w:t xml:space="preserve"> </w:t>
      </w:r>
      <w:r w:rsidRPr="00FA7341">
        <w:rPr>
          <w:rFonts w:ascii="Century Gothic" w:hAnsi="Century Gothic" w:cs="Arial"/>
          <w:color w:val="000000"/>
        </w:rPr>
        <w:t>l</w:t>
      </w:r>
      <w:r w:rsidR="00732571" w:rsidRPr="00FA7341">
        <w:rPr>
          <w:rFonts w:ascii="Century Gothic" w:hAnsi="Century Gothic" w:cs="Arial"/>
          <w:color w:val="000000"/>
        </w:rPr>
        <w:t xml:space="preserve">os mencionados anteriormente por medio </w:t>
      </w:r>
      <w:r w:rsidR="007C0C5E" w:rsidRPr="00FA7341">
        <w:rPr>
          <w:rFonts w:ascii="Century Gothic" w:hAnsi="Century Gothic" w:cs="Arial"/>
          <w:color w:val="000000"/>
        </w:rPr>
        <w:t>SECOP II.</w:t>
      </w:r>
    </w:p>
    <w:p w14:paraId="4B4F5D4C" w14:textId="77777777" w:rsidR="00DB3117" w:rsidRPr="00FA7341" w:rsidRDefault="00DB3117" w:rsidP="007369E7">
      <w:pPr>
        <w:spacing w:after="0" w:line="240" w:lineRule="auto"/>
        <w:jc w:val="both"/>
        <w:rPr>
          <w:rFonts w:ascii="Century Gothic" w:hAnsi="Century Gothic" w:cs="Arial"/>
          <w:color w:val="FFFFFF" w:themeColor="background1"/>
          <w:highlight w:val="darkGray"/>
        </w:rPr>
      </w:pPr>
    </w:p>
    <w:p w14:paraId="772F22C8" w14:textId="77777777" w:rsidR="0005576F" w:rsidRPr="00FA7341" w:rsidRDefault="0005576F" w:rsidP="009B016D">
      <w:pPr>
        <w:pStyle w:val="Ttulo3"/>
        <w:numPr>
          <w:ilvl w:val="1"/>
          <w:numId w:val="12"/>
        </w:numPr>
        <w:pBdr>
          <w:top w:val="single" w:sz="4" w:space="1" w:color="auto"/>
          <w:left w:val="single" w:sz="4" w:space="4" w:color="auto"/>
          <w:bottom w:val="single" w:sz="4" w:space="1" w:color="auto"/>
          <w:right w:val="single" w:sz="4" w:space="4" w:color="auto"/>
        </w:pBdr>
        <w:shd w:val="clear" w:color="auto" w:fill="002060"/>
        <w:spacing w:before="0"/>
        <w:ind w:left="720" w:hanging="720"/>
        <w:contextualSpacing/>
        <w:rPr>
          <w:rFonts w:ascii="Century Gothic" w:hAnsi="Century Gothic" w:cs="Arial"/>
          <w:noProof/>
          <w:color w:val="FFFFFF"/>
          <w:lang w:val="es-ES" w:eastAsia="es-ES"/>
        </w:rPr>
      </w:pPr>
      <w:r w:rsidRPr="00FA7341">
        <w:rPr>
          <w:rFonts w:ascii="Century Gothic" w:hAnsi="Century Gothic" w:cs="Arial"/>
          <w:noProof/>
          <w:color w:val="FFFFFF"/>
          <w:lang w:val="es-ES" w:eastAsia="es-ES"/>
        </w:rPr>
        <w:tab/>
      </w:r>
      <w:bookmarkStart w:id="32" w:name="_Toc232673899"/>
      <w:r w:rsidRPr="00FA7341">
        <w:rPr>
          <w:rFonts w:ascii="Century Gothic" w:hAnsi="Century Gothic" w:cs="Arial"/>
          <w:noProof/>
          <w:color w:val="FFFFFF"/>
          <w:lang w:val="es-ES" w:eastAsia="es-ES"/>
        </w:rPr>
        <w:t>Adquisiciones anteriores por parte de otras entidades públicas</w:t>
      </w:r>
      <w:bookmarkEnd w:id="32"/>
    </w:p>
    <w:p w14:paraId="66565781" w14:textId="77777777" w:rsidR="0005576F" w:rsidRPr="00FA7341" w:rsidRDefault="0005576F" w:rsidP="007369E7">
      <w:pPr>
        <w:spacing w:after="0" w:line="240" w:lineRule="auto"/>
        <w:jc w:val="both"/>
        <w:rPr>
          <w:rFonts w:ascii="Century Gothic" w:hAnsi="Century Gothic" w:cs="Arial"/>
          <w:color w:val="000000"/>
        </w:rPr>
      </w:pPr>
      <w:r w:rsidRPr="00FA7341">
        <w:rPr>
          <w:rFonts w:ascii="Century Gothic" w:hAnsi="Century Gothic" w:cs="Arial"/>
          <w:color w:val="000000"/>
        </w:rPr>
        <w:t xml:space="preserve"> </w:t>
      </w:r>
    </w:p>
    <w:p w14:paraId="1967CBA7" w14:textId="77777777" w:rsidR="0005576F" w:rsidRPr="00FA7341" w:rsidRDefault="0005576F" w:rsidP="007369E7">
      <w:pPr>
        <w:spacing w:after="0" w:line="240" w:lineRule="auto"/>
        <w:jc w:val="both"/>
        <w:rPr>
          <w:rFonts w:ascii="Century Gothic" w:hAnsi="Century Gothic" w:cs="Arial"/>
          <w:color w:val="000000"/>
        </w:rPr>
      </w:pPr>
      <w:r w:rsidRPr="00FA7341">
        <w:rPr>
          <w:rFonts w:ascii="Century Gothic" w:hAnsi="Century Gothic" w:cs="Arial"/>
          <w:color w:val="000000"/>
        </w:rPr>
        <w:t>A continuación, se presentan los procesos de contratación adelantados por otras Entidades que se encuentran relacionados con el objeto de la presente contratación y que se encuentran publicados en las plataformas del SECOP:</w:t>
      </w:r>
    </w:p>
    <w:p w14:paraId="3DFC8CB3" w14:textId="77777777" w:rsidR="0005576F" w:rsidRDefault="0005576F" w:rsidP="007369E7">
      <w:pPr>
        <w:spacing w:after="0" w:line="240" w:lineRule="auto"/>
        <w:jc w:val="both"/>
        <w:rPr>
          <w:rFonts w:ascii="Century Gothic" w:hAnsi="Century Gothic" w:cs="Arial"/>
          <w:color w:val="000000"/>
          <w:highlight w:val="yellow"/>
        </w:rPr>
      </w:pPr>
    </w:p>
    <w:p w14:paraId="2A289F0C" w14:textId="77777777" w:rsidR="007D400B" w:rsidRDefault="007D400B" w:rsidP="007369E7">
      <w:pPr>
        <w:spacing w:after="0" w:line="240" w:lineRule="auto"/>
        <w:jc w:val="both"/>
        <w:rPr>
          <w:rFonts w:ascii="Century Gothic" w:hAnsi="Century Gothic" w:cs="Arial"/>
          <w:color w:val="000000"/>
          <w:highlight w:val="yellow"/>
        </w:rPr>
      </w:pPr>
    </w:p>
    <w:p w14:paraId="1CAE905D" w14:textId="30D82F72" w:rsidR="00F333B7" w:rsidRPr="00FA7341" w:rsidRDefault="0005576F" w:rsidP="007369E7">
      <w:pPr>
        <w:pStyle w:val="Descripcin"/>
        <w:spacing w:after="0"/>
        <w:jc w:val="center"/>
        <w:rPr>
          <w:rFonts w:ascii="Century Gothic" w:hAnsi="Century Gothic" w:cs="Arial"/>
          <w:color w:val="002060"/>
          <w:sz w:val="22"/>
          <w:szCs w:val="22"/>
        </w:rPr>
      </w:pPr>
      <w:bookmarkStart w:id="33" w:name="_Toc192773262"/>
      <w:r w:rsidRPr="00FA7341">
        <w:rPr>
          <w:rFonts w:ascii="Century Gothic" w:hAnsi="Century Gothic" w:cs="Arial"/>
          <w:color w:val="002060"/>
          <w:sz w:val="22"/>
          <w:szCs w:val="22"/>
        </w:rPr>
        <w:lastRenderedPageBreak/>
        <w:t xml:space="preserve">Tabla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Tabla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6</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Procesos de contratación adelantados por entidades nacionales</w:t>
      </w:r>
      <w:bookmarkEnd w:id="33"/>
    </w:p>
    <w:p w14:paraId="0CBF30CA" w14:textId="77777777" w:rsidR="00FA7341" w:rsidRDefault="00FA7341" w:rsidP="009B016D">
      <w:pPr>
        <w:spacing w:after="0" w:line="240" w:lineRule="auto"/>
        <w:jc w:val="center"/>
        <w:rPr>
          <w:rFonts w:ascii="Century Gothic" w:hAnsi="Century Gothic" w:cs="Arial"/>
          <w:color w:val="000000"/>
        </w:rPr>
      </w:pPr>
    </w:p>
    <w:tbl>
      <w:tblPr>
        <w:tblW w:w="9180" w:type="dxa"/>
        <w:tblInd w:w="-125" w:type="dxa"/>
        <w:tblLayout w:type="fixed"/>
        <w:tblLook w:val="0400" w:firstRow="0" w:lastRow="0" w:firstColumn="0" w:lastColumn="0" w:noHBand="0" w:noVBand="1"/>
      </w:tblPr>
      <w:tblGrid>
        <w:gridCol w:w="1512"/>
        <w:gridCol w:w="1388"/>
        <w:gridCol w:w="3162"/>
        <w:gridCol w:w="1417"/>
        <w:gridCol w:w="1701"/>
      </w:tblGrid>
      <w:tr w:rsidR="00FA7341" w:rsidRPr="008D522D" w14:paraId="7EF89C58" w14:textId="77777777" w:rsidTr="00C816B0">
        <w:trPr>
          <w:trHeight w:val="225"/>
        </w:trPr>
        <w:tc>
          <w:tcPr>
            <w:tcW w:w="1512"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7DA763B0" w14:textId="77777777"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b/>
                <w:bCs/>
                <w:sz w:val="18"/>
                <w:szCs w:val="18"/>
              </w:rPr>
              <w:t>ENTIDAD</w:t>
            </w:r>
          </w:p>
        </w:tc>
        <w:tc>
          <w:tcPr>
            <w:tcW w:w="1388"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19A84E00" w14:textId="77777777"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b/>
                <w:bCs/>
                <w:sz w:val="18"/>
                <w:szCs w:val="18"/>
              </w:rPr>
              <w:t>PROCESO</w:t>
            </w:r>
          </w:p>
        </w:tc>
        <w:tc>
          <w:tcPr>
            <w:tcW w:w="3162"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68C5219A" w14:textId="77777777"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b/>
                <w:bCs/>
                <w:sz w:val="18"/>
                <w:szCs w:val="18"/>
              </w:rPr>
              <w:t>OBJETO</w:t>
            </w:r>
          </w:p>
        </w:tc>
        <w:tc>
          <w:tcPr>
            <w:tcW w:w="1417"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6DA6F559" w14:textId="77777777"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b/>
                <w:bCs/>
                <w:sz w:val="18"/>
                <w:szCs w:val="18"/>
              </w:rPr>
              <w:t>VALOR (COP$)</w:t>
            </w:r>
          </w:p>
        </w:tc>
        <w:tc>
          <w:tcPr>
            <w:tcW w:w="1701"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391F4075" w14:textId="77777777"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b/>
                <w:bCs/>
                <w:sz w:val="18"/>
                <w:szCs w:val="18"/>
              </w:rPr>
              <w:t xml:space="preserve">MODALIDAD DE SELECCIIÓN </w:t>
            </w:r>
          </w:p>
        </w:tc>
      </w:tr>
      <w:tr w:rsidR="00FA7341" w:rsidRPr="008D522D" w14:paraId="010FB8E0" w14:textId="77777777" w:rsidTr="00C816B0">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292E5FD" w14:textId="6FEAC503" w:rsidR="00FA7341" w:rsidRPr="008D522D" w:rsidRDefault="008D522D" w:rsidP="00C816B0">
            <w:pPr>
              <w:spacing w:after="0"/>
              <w:jc w:val="both"/>
              <w:rPr>
                <w:rFonts w:ascii="Century Gothic" w:eastAsia="Arial" w:hAnsi="Century Gothic" w:cs="Arial"/>
                <w:sz w:val="18"/>
                <w:szCs w:val="18"/>
              </w:rPr>
            </w:pPr>
            <w:r w:rsidRPr="008D522D">
              <w:rPr>
                <w:rFonts w:ascii="Century Gothic" w:eastAsia="Arial" w:hAnsi="Century Gothic" w:cs="Arial"/>
                <w:sz w:val="18"/>
                <w:szCs w:val="18"/>
              </w:rPr>
              <w:t>AEROCIVIL</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88DE4DC" w14:textId="62C4568C" w:rsidR="00FA7341" w:rsidRPr="008D522D" w:rsidRDefault="008D522D" w:rsidP="00C816B0">
            <w:pPr>
              <w:spacing w:after="0"/>
              <w:jc w:val="both"/>
              <w:rPr>
                <w:rFonts w:ascii="Century Gothic" w:eastAsia="Arial" w:hAnsi="Century Gothic" w:cs="Arial"/>
                <w:sz w:val="18"/>
                <w:szCs w:val="18"/>
              </w:rPr>
            </w:pPr>
            <w:r w:rsidRPr="008D522D">
              <w:rPr>
                <w:rFonts w:ascii="Century Gothic" w:eastAsia="Arial" w:hAnsi="Century Gothic" w:cs="Arial"/>
                <w:sz w:val="18"/>
                <w:szCs w:val="18"/>
              </w:rPr>
              <w:t>26001199 H3 DE 2026</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691D6D6" w14:textId="1AFCEDDA" w:rsidR="00FA7341" w:rsidRPr="008D522D" w:rsidRDefault="008D522D" w:rsidP="00C816B0">
            <w:pPr>
              <w:spacing w:after="0"/>
              <w:jc w:val="both"/>
              <w:rPr>
                <w:rFonts w:ascii="Century Gothic" w:eastAsia="Arial" w:hAnsi="Century Gothic" w:cs="Arial"/>
                <w:sz w:val="18"/>
                <w:szCs w:val="18"/>
                <w:highlight w:val="white"/>
              </w:rPr>
            </w:pPr>
            <w:r w:rsidRPr="008D522D">
              <w:rPr>
                <w:rFonts w:ascii="Century Gothic" w:eastAsia="Arial" w:hAnsi="Century Gothic" w:cs="Arial"/>
                <w:sz w:val="18"/>
                <w:szCs w:val="18"/>
              </w:rPr>
              <w:t>SUMINISTRAR TARJETAS ELECTRÓNICAS O BONOS CANJEABLES POR CALZADO Y VESTIDO DE LABOR PARA LA DOTACIÓN DE LOS SERVIDORES DE LA UNIDAD ADMINISTRATIVA ESPECIAL DE AERONÁUTICA CIVIL</w:t>
            </w:r>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3EBC6F4" w14:textId="4E78F651"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sz w:val="18"/>
                <w:szCs w:val="18"/>
              </w:rPr>
              <w:t>$</w:t>
            </w:r>
            <w:r w:rsidR="008D522D" w:rsidRPr="008D522D">
              <w:rPr>
                <w:sz w:val="18"/>
                <w:szCs w:val="18"/>
              </w:rPr>
              <w:t xml:space="preserve"> </w:t>
            </w:r>
            <w:r w:rsidR="008D522D" w:rsidRPr="008D522D">
              <w:rPr>
                <w:rFonts w:ascii="Century Gothic" w:eastAsia="Arial" w:hAnsi="Century Gothic" w:cs="Arial"/>
                <w:sz w:val="18"/>
                <w:szCs w:val="18"/>
              </w:rPr>
              <w:t>827.210.918</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73C582F" w14:textId="452D866B" w:rsidR="008D522D" w:rsidRPr="008D522D" w:rsidRDefault="008D522D" w:rsidP="00C816B0">
            <w:pPr>
              <w:spacing w:after="0"/>
              <w:jc w:val="both"/>
              <w:rPr>
                <w:rFonts w:ascii="Century Gothic" w:eastAsia="Arial" w:hAnsi="Century Gothic" w:cs="Arial"/>
                <w:sz w:val="18"/>
                <w:szCs w:val="18"/>
              </w:rPr>
            </w:pPr>
            <w:r>
              <w:rPr>
                <w:rFonts w:ascii="Century Gothic" w:eastAsia="Arial" w:hAnsi="Century Gothic" w:cs="Arial"/>
                <w:sz w:val="18"/>
                <w:szCs w:val="18"/>
              </w:rPr>
              <w:t>Selección abreviada subasta inversa</w:t>
            </w:r>
          </w:p>
        </w:tc>
      </w:tr>
      <w:tr w:rsidR="00FA7341" w:rsidRPr="008D522D" w14:paraId="1E0E9FFB" w14:textId="77777777" w:rsidTr="00C816B0">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3342CE2" w14:textId="35316FA7" w:rsidR="00FA7341" w:rsidRPr="008D522D" w:rsidRDefault="00964A8C" w:rsidP="00C816B0">
            <w:pPr>
              <w:spacing w:after="0"/>
              <w:jc w:val="both"/>
              <w:rPr>
                <w:rFonts w:ascii="Century Gothic" w:eastAsia="Arial" w:hAnsi="Century Gothic" w:cs="Arial"/>
                <w:sz w:val="18"/>
                <w:szCs w:val="18"/>
              </w:rPr>
            </w:pPr>
            <w:r w:rsidRPr="00964A8C">
              <w:rPr>
                <w:rFonts w:ascii="Century Gothic" w:eastAsia="Arial" w:hAnsi="Century Gothic" w:cs="Arial"/>
                <w:sz w:val="18"/>
                <w:szCs w:val="18"/>
              </w:rPr>
              <w:t>MINISTERIO DE DEFENSA NACIONAL</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3AACD32" w14:textId="496A994D" w:rsidR="00FA7341" w:rsidRPr="00964A8C" w:rsidRDefault="00964A8C" w:rsidP="00C816B0">
            <w:pPr>
              <w:spacing w:after="0"/>
              <w:jc w:val="both"/>
              <w:rPr>
                <w:rFonts w:ascii="Century Gothic" w:eastAsia="Arial" w:hAnsi="Century Gothic" w:cs="Arial"/>
                <w:sz w:val="18"/>
                <w:szCs w:val="18"/>
                <w:lang w:val="pt-PT"/>
              </w:rPr>
            </w:pPr>
            <w:r w:rsidRPr="00964A8C">
              <w:rPr>
                <w:rFonts w:ascii="Century Gothic" w:eastAsia="Arial" w:hAnsi="Century Gothic" w:cs="Arial"/>
                <w:sz w:val="18"/>
                <w:szCs w:val="18"/>
                <w:lang w:val="pt-PT"/>
              </w:rPr>
              <w:t>SUBASTA-INVERSA-010-2026-MDN-UGG-DA</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A8EB61B" w14:textId="3E005784" w:rsidR="00FA7341" w:rsidRPr="008D522D" w:rsidRDefault="00964A8C" w:rsidP="00C816B0">
            <w:pPr>
              <w:spacing w:after="0"/>
              <w:jc w:val="both"/>
              <w:rPr>
                <w:rFonts w:ascii="Century Gothic" w:eastAsia="Arial" w:hAnsi="Century Gothic" w:cs="Arial"/>
                <w:sz w:val="18"/>
                <w:szCs w:val="18"/>
                <w:highlight w:val="white"/>
              </w:rPr>
            </w:pPr>
            <w:r w:rsidRPr="00964A8C">
              <w:rPr>
                <w:rFonts w:ascii="Century Gothic" w:eastAsia="Arial" w:hAnsi="Century Gothic" w:cs="Arial"/>
                <w:sz w:val="18"/>
                <w:szCs w:val="18"/>
                <w:highlight w:val="white"/>
              </w:rPr>
              <w:t>ADQUISICIÓN DE BONOS O TARJETAS ELECTRÓNICAS U ORDENES DE ENTREGA CANJEABLES CON DESTINACIÓN EXCLUSIVA PARA DOTACIÓN DE VESTIDO Y CALZADO DE LABOR PARA LOS SERVIDORES(AS) PÚBLICOS(AS)</w:t>
            </w:r>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FECF376" w14:textId="72E7348C" w:rsidR="00FA7341" w:rsidRPr="008D522D" w:rsidRDefault="00964A8C" w:rsidP="00C816B0">
            <w:pPr>
              <w:spacing w:after="0"/>
              <w:jc w:val="both"/>
              <w:rPr>
                <w:rFonts w:ascii="Century Gothic" w:eastAsia="Arial" w:hAnsi="Century Gothic" w:cs="Arial"/>
                <w:sz w:val="18"/>
                <w:szCs w:val="18"/>
              </w:rPr>
            </w:pPr>
            <w:r>
              <w:rPr>
                <w:rFonts w:ascii="Century Gothic" w:eastAsia="Arial" w:hAnsi="Century Gothic" w:cs="Arial"/>
                <w:sz w:val="18"/>
                <w:szCs w:val="18"/>
              </w:rPr>
              <w:t xml:space="preserve">$ </w:t>
            </w:r>
            <w:r w:rsidRPr="00964A8C">
              <w:rPr>
                <w:rFonts w:ascii="Century Gothic" w:eastAsia="Arial" w:hAnsi="Century Gothic" w:cs="Arial"/>
                <w:sz w:val="18"/>
                <w:szCs w:val="18"/>
              </w:rPr>
              <w:t>570.284.000</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044E4E9" w14:textId="26B5599C" w:rsidR="00FA7341" w:rsidRPr="008D522D" w:rsidRDefault="00964A8C" w:rsidP="00C816B0">
            <w:pPr>
              <w:spacing w:after="0"/>
              <w:jc w:val="both"/>
              <w:rPr>
                <w:rFonts w:ascii="Century Gothic" w:eastAsia="Arial" w:hAnsi="Century Gothic" w:cs="Arial"/>
                <w:sz w:val="18"/>
                <w:szCs w:val="18"/>
              </w:rPr>
            </w:pPr>
            <w:r>
              <w:rPr>
                <w:rFonts w:ascii="Century Gothic" w:eastAsia="Arial" w:hAnsi="Century Gothic" w:cs="Arial"/>
                <w:sz w:val="18"/>
                <w:szCs w:val="18"/>
              </w:rPr>
              <w:t>Selección abreviada subasta inversa</w:t>
            </w:r>
          </w:p>
        </w:tc>
      </w:tr>
      <w:tr w:rsidR="00FA7341" w:rsidRPr="008D522D" w14:paraId="4A586899" w14:textId="77777777" w:rsidTr="00C816B0">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321C11DD" w14:textId="1A2EA9FA" w:rsidR="00FA7341" w:rsidRPr="008D522D" w:rsidRDefault="00964A8C" w:rsidP="00C816B0">
            <w:pPr>
              <w:spacing w:after="0"/>
              <w:jc w:val="both"/>
              <w:rPr>
                <w:rFonts w:ascii="Century Gothic" w:eastAsia="Arial" w:hAnsi="Century Gothic" w:cs="Arial"/>
                <w:sz w:val="18"/>
                <w:szCs w:val="18"/>
              </w:rPr>
            </w:pPr>
            <w:r w:rsidRPr="00964A8C">
              <w:rPr>
                <w:rFonts w:ascii="Century Gothic" w:eastAsia="Arial" w:hAnsi="Century Gothic" w:cs="Arial"/>
                <w:sz w:val="18"/>
                <w:szCs w:val="18"/>
              </w:rPr>
              <w:t>GOBERNACION DEL VALLE DEL CAUCA - SECRETARIA DE EDUCACION</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9E60F2B" w14:textId="3388AAB2" w:rsidR="00FA7341" w:rsidRPr="008D522D" w:rsidRDefault="00964A8C" w:rsidP="00C816B0">
            <w:pPr>
              <w:spacing w:after="0"/>
              <w:jc w:val="both"/>
              <w:rPr>
                <w:rFonts w:ascii="Century Gothic" w:eastAsia="Arial" w:hAnsi="Century Gothic" w:cs="Arial"/>
                <w:sz w:val="18"/>
                <w:szCs w:val="18"/>
              </w:rPr>
            </w:pPr>
            <w:r w:rsidRPr="00964A8C">
              <w:rPr>
                <w:rFonts w:ascii="Century Gothic" w:eastAsia="Arial" w:hAnsi="Century Gothic" w:cs="Arial"/>
                <w:sz w:val="18"/>
                <w:szCs w:val="18"/>
              </w:rPr>
              <w:t>SED-SASI-005-2025</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9E0D431" w14:textId="0416F855" w:rsidR="00FA7341" w:rsidRPr="008D522D" w:rsidRDefault="00964A8C" w:rsidP="00C816B0">
            <w:pPr>
              <w:spacing w:after="0"/>
              <w:jc w:val="both"/>
              <w:rPr>
                <w:rFonts w:ascii="Century Gothic" w:eastAsia="Arial" w:hAnsi="Century Gothic" w:cs="Arial"/>
                <w:sz w:val="18"/>
                <w:szCs w:val="18"/>
                <w:highlight w:val="white"/>
              </w:rPr>
            </w:pPr>
            <w:r w:rsidRPr="00964A8C">
              <w:rPr>
                <w:rFonts w:ascii="Century Gothic" w:eastAsia="Arial" w:hAnsi="Century Gothic" w:cs="Arial"/>
                <w:sz w:val="18"/>
                <w:szCs w:val="18"/>
                <w:highlight w:val="white"/>
              </w:rPr>
              <w:t xml:space="preserve">SUMINISTRO DE VESTUARIO Y CALZADO PARA LOS DOCENTES Y DIRECTIVOS DOCENTES QUE TENGAN ADQUIRIDO EL DERECHO ADSCRITOS A LOS ESTABLECIMIENTOS EDUCATIVOS PUBLICOS DE LOS 34 MUNICIPIOS NO CERTIFICADOS EN EDUCACIÓN DEL VALLE DEL </w:t>
            </w:r>
            <w:proofErr w:type="gramStart"/>
            <w:r w:rsidRPr="00964A8C">
              <w:rPr>
                <w:rFonts w:ascii="Century Gothic" w:eastAsia="Arial" w:hAnsi="Century Gothic" w:cs="Arial"/>
                <w:sz w:val="18"/>
                <w:szCs w:val="18"/>
                <w:highlight w:val="white"/>
              </w:rPr>
              <w:t>CAUCA.</w:t>
            </w:r>
            <w:r w:rsidR="00FA7341" w:rsidRPr="008D522D">
              <w:rPr>
                <w:rFonts w:ascii="Century Gothic" w:eastAsia="Arial" w:hAnsi="Century Gothic" w:cs="Arial"/>
                <w:sz w:val="18"/>
                <w:szCs w:val="18"/>
                <w:highlight w:val="white"/>
              </w:rPr>
              <w:t>.</w:t>
            </w:r>
            <w:proofErr w:type="gramEnd"/>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139211D" w14:textId="372F9F99" w:rsidR="00FA7341" w:rsidRPr="008D522D" w:rsidRDefault="00FA7341" w:rsidP="00C816B0">
            <w:pPr>
              <w:spacing w:after="0"/>
              <w:jc w:val="both"/>
              <w:rPr>
                <w:rFonts w:ascii="Century Gothic" w:eastAsia="Arial" w:hAnsi="Century Gothic" w:cs="Arial"/>
                <w:sz w:val="18"/>
                <w:szCs w:val="18"/>
              </w:rPr>
            </w:pPr>
            <w:r w:rsidRPr="008D522D">
              <w:rPr>
                <w:rFonts w:ascii="Century Gothic" w:eastAsia="Arial" w:hAnsi="Century Gothic" w:cs="Arial"/>
                <w:sz w:val="18"/>
                <w:szCs w:val="18"/>
              </w:rPr>
              <w:t>$</w:t>
            </w:r>
            <w:r w:rsidR="00964A8C" w:rsidRPr="00964A8C">
              <w:rPr>
                <w:rFonts w:ascii="Arial" w:hAnsi="Arial" w:cs="Arial"/>
                <w:color w:val="000000"/>
                <w:sz w:val="17"/>
                <w:szCs w:val="17"/>
                <w:shd w:val="clear" w:color="auto" w:fill="FFFFFF"/>
              </w:rPr>
              <w:t xml:space="preserve"> </w:t>
            </w:r>
            <w:r w:rsidR="00964A8C" w:rsidRPr="00964A8C">
              <w:rPr>
                <w:rFonts w:ascii="Century Gothic" w:eastAsia="Arial" w:hAnsi="Century Gothic" w:cs="Arial"/>
                <w:sz w:val="18"/>
                <w:szCs w:val="18"/>
              </w:rPr>
              <w:t>672.176.700</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7B809AF" w14:textId="776BA126" w:rsidR="00FA7341" w:rsidRPr="008D522D" w:rsidRDefault="00964A8C" w:rsidP="00C816B0">
            <w:pPr>
              <w:spacing w:after="0"/>
              <w:jc w:val="both"/>
              <w:rPr>
                <w:rFonts w:ascii="Century Gothic" w:eastAsia="Arial" w:hAnsi="Century Gothic" w:cs="Arial"/>
                <w:sz w:val="18"/>
                <w:szCs w:val="18"/>
              </w:rPr>
            </w:pPr>
            <w:r>
              <w:rPr>
                <w:rFonts w:ascii="Century Gothic" w:eastAsia="Arial" w:hAnsi="Century Gothic" w:cs="Arial"/>
                <w:sz w:val="18"/>
                <w:szCs w:val="18"/>
              </w:rPr>
              <w:t>Selección abreviada subasta inversa</w:t>
            </w:r>
          </w:p>
        </w:tc>
      </w:tr>
    </w:tbl>
    <w:p w14:paraId="545FE37F" w14:textId="77777777" w:rsidR="00FA7341" w:rsidRDefault="00FA7341" w:rsidP="009B016D">
      <w:pPr>
        <w:spacing w:after="0" w:line="240" w:lineRule="auto"/>
        <w:jc w:val="center"/>
        <w:rPr>
          <w:rFonts w:ascii="Century Gothic" w:hAnsi="Century Gothic" w:cs="Arial"/>
          <w:color w:val="000000"/>
        </w:rPr>
      </w:pPr>
    </w:p>
    <w:p w14:paraId="5CF555BA" w14:textId="1DBF7107" w:rsidR="00630B14" w:rsidRPr="00FA7341" w:rsidRDefault="0005576F" w:rsidP="009B016D">
      <w:pPr>
        <w:spacing w:after="0" w:line="240" w:lineRule="auto"/>
        <w:jc w:val="center"/>
        <w:rPr>
          <w:rFonts w:ascii="Century Gothic" w:hAnsi="Century Gothic" w:cs="Arial"/>
          <w:color w:val="000000"/>
        </w:rPr>
      </w:pPr>
      <w:r w:rsidRPr="00FA7341">
        <w:rPr>
          <w:rFonts w:ascii="Century Gothic" w:hAnsi="Century Gothic" w:cs="Arial"/>
          <w:color w:val="000000"/>
        </w:rPr>
        <w:t xml:space="preserve">Fuente: </w:t>
      </w:r>
      <w:r w:rsidR="008150B1" w:rsidRPr="00FA7341">
        <w:rPr>
          <w:rFonts w:ascii="Century Gothic" w:hAnsi="Century Gothic" w:cs="Arial"/>
          <w:color w:val="000000"/>
        </w:rPr>
        <w:t>E</w:t>
      </w:r>
      <w:r w:rsidRPr="00FA7341">
        <w:rPr>
          <w:rFonts w:ascii="Century Gothic" w:hAnsi="Century Gothic" w:cs="Arial"/>
          <w:color w:val="000000"/>
        </w:rPr>
        <w:t>laboración propia (</w:t>
      </w:r>
      <w:r w:rsidR="00ED4E1B" w:rsidRPr="00FA7341">
        <w:rPr>
          <w:rFonts w:ascii="Century Gothic" w:hAnsi="Century Gothic" w:cs="Arial"/>
          <w:color w:val="002060"/>
        </w:rPr>
        <w:t>Departamento</w:t>
      </w:r>
      <w:r w:rsidR="002C6D45" w:rsidRPr="00FA7341">
        <w:rPr>
          <w:rFonts w:ascii="Century Gothic" w:hAnsi="Century Gothic" w:cs="Arial"/>
          <w:color w:val="002060"/>
        </w:rPr>
        <w:t xml:space="preserve"> de Cundinamarca</w:t>
      </w:r>
      <w:r w:rsidRPr="00FA7341">
        <w:rPr>
          <w:rFonts w:ascii="Century Gothic" w:hAnsi="Century Gothic" w:cs="Arial"/>
          <w:color w:val="000000"/>
        </w:rPr>
        <w:t>)</w:t>
      </w:r>
    </w:p>
    <w:p w14:paraId="4AE69AC9" w14:textId="77777777" w:rsidR="00630B14" w:rsidRPr="00FA7341" w:rsidRDefault="00630B14" w:rsidP="007369E7">
      <w:pPr>
        <w:spacing w:after="0" w:line="240" w:lineRule="auto"/>
        <w:jc w:val="both"/>
        <w:rPr>
          <w:rFonts w:ascii="Century Gothic" w:hAnsi="Century Gothic" w:cs="Arial"/>
          <w:color w:val="000000"/>
        </w:rPr>
      </w:pPr>
    </w:p>
    <w:p w14:paraId="759D0334" w14:textId="61CF9AC3" w:rsidR="00DF6A27" w:rsidRPr="00FA7341" w:rsidRDefault="0005576F" w:rsidP="007369E7">
      <w:pPr>
        <w:spacing w:after="0" w:line="240" w:lineRule="auto"/>
        <w:jc w:val="both"/>
        <w:rPr>
          <w:rFonts w:ascii="Century Gothic" w:hAnsi="Century Gothic" w:cs="Arial"/>
          <w:color w:val="FFFFFF" w:themeColor="background1"/>
          <w:highlight w:val="darkGray"/>
        </w:rPr>
      </w:pPr>
      <w:r w:rsidRPr="00FA7341">
        <w:rPr>
          <w:rFonts w:ascii="Century Gothic" w:hAnsi="Century Gothic" w:cs="Arial"/>
          <w:color w:val="000000"/>
        </w:rPr>
        <w:t xml:space="preserve">Con base en la información registrada en los procesos de contratación listados previamente, se puede identificar la modalidad de </w:t>
      </w:r>
      <w:r w:rsidR="005764D7" w:rsidRPr="00FA7341">
        <w:rPr>
          <w:rFonts w:ascii="Century Gothic" w:hAnsi="Century Gothic" w:cs="Arial"/>
        </w:rPr>
        <w:t>s</w:t>
      </w:r>
      <w:r w:rsidR="009F7E09" w:rsidRPr="00FA7341">
        <w:rPr>
          <w:rFonts w:ascii="Century Gothic" w:hAnsi="Century Gothic" w:cs="Arial"/>
        </w:rPr>
        <w:t>elecció</w:t>
      </w:r>
      <w:r w:rsidR="00A73AA2" w:rsidRPr="00FA7341">
        <w:rPr>
          <w:rFonts w:ascii="Century Gothic" w:hAnsi="Century Gothic" w:cs="Arial"/>
        </w:rPr>
        <w:t xml:space="preserve">n </w:t>
      </w:r>
      <w:r w:rsidR="003140B7" w:rsidRPr="00FA7341">
        <w:rPr>
          <w:rFonts w:ascii="Century Gothic" w:hAnsi="Century Gothic" w:cs="Arial"/>
        </w:rPr>
        <w:t>abreviada por s</w:t>
      </w:r>
      <w:r w:rsidR="00A73AA2" w:rsidRPr="00FA7341">
        <w:rPr>
          <w:rFonts w:ascii="Century Gothic" w:hAnsi="Century Gothic" w:cs="Arial"/>
        </w:rPr>
        <w:t xml:space="preserve">ubasta </w:t>
      </w:r>
      <w:r w:rsidR="003140B7" w:rsidRPr="00FA7341">
        <w:rPr>
          <w:rFonts w:ascii="Century Gothic" w:hAnsi="Century Gothic" w:cs="Arial"/>
        </w:rPr>
        <w:t>i</w:t>
      </w:r>
      <w:r w:rsidR="00A73AA2" w:rsidRPr="00FA7341">
        <w:rPr>
          <w:rFonts w:ascii="Century Gothic" w:hAnsi="Century Gothic" w:cs="Arial"/>
        </w:rPr>
        <w:t>nversa.</w:t>
      </w:r>
    </w:p>
    <w:p w14:paraId="4D9A5FC5" w14:textId="111AC958" w:rsidR="0005576F" w:rsidRPr="00FA7341" w:rsidRDefault="0005576F" w:rsidP="007369E7">
      <w:pPr>
        <w:spacing w:after="0" w:line="240" w:lineRule="auto"/>
        <w:jc w:val="both"/>
        <w:rPr>
          <w:rFonts w:ascii="Century Gothic" w:hAnsi="Century Gothic" w:cs="Arial"/>
          <w:color w:val="000000"/>
        </w:rPr>
      </w:pPr>
    </w:p>
    <w:p w14:paraId="3658D8AA" w14:textId="77777777" w:rsidR="002550C3" w:rsidRPr="00FA7341" w:rsidRDefault="0005576F" w:rsidP="007369E7">
      <w:pPr>
        <w:spacing w:after="0" w:line="240" w:lineRule="auto"/>
        <w:jc w:val="both"/>
        <w:rPr>
          <w:rFonts w:ascii="Century Gothic" w:hAnsi="Century Gothic" w:cs="Arial"/>
          <w:color w:val="000000"/>
        </w:rPr>
      </w:pPr>
      <w:r w:rsidRPr="00FA7341">
        <w:rPr>
          <w:rFonts w:ascii="Century Gothic" w:hAnsi="Century Gothic" w:cs="Arial"/>
          <w:color w:val="000000"/>
        </w:rPr>
        <w:t>Adicionalmente, se observa que cada proceso presenta condiciones técnicas distintas y alcance diferencial, lo cual y según la necesidad de cada entidad, impacta en el presupuesto dispuesto para la contratación.</w:t>
      </w:r>
    </w:p>
    <w:p w14:paraId="097CD245" w14:textId="77777777" w:rsidR="002550C3" w:rsidRPr="00FA7341" w:rsidRDefault="002550C3" w:rsidP="007369E7">
      <w:pPr>
        <w:spacing w:after="0" w:line="240" w:lineRule="auto"/>
        <w:jc w:val="both"/>
        <w:rPr>
          <w:rFonts w:ascii="Century Gothic" w:hAnsi="Century Gothic" w:cs="Arial"/>
          <w:color w:val="000000"/>
        </w:rPr>
      </w:pPr>
    </w:p>
    <w:p w14:paraId="149B52BF" w14:textId="77777777" w:rsidR="005D79F7" w:rsidRPr="00FA7341" w:rsidRDefault="005D79F7" w:rsidP="009B016D">
      <w:pPr>
        <w:pStyle w:val="Ttulo3"/>
        <w:numPr>
          <w:ilvl w:val="1"/>
          <w:numId w:val="12"/>
        </w:numPr>
        <w:pBdr>
          <w:top w:val="single" w:sz="4" w:space="1" w:color="auto"/>
          <w:left w:val="single" w:sz="4" w:space="4" w:color="auto"/>
          <w:bottom w:val="single" w:sz="4" w:space="1" w:color="auto"/>
          <w:right w:val="single" w:sz="4" w:space="4" w:color="auto"/>
        </w:pBdr>
        <w:shd w:val="clear" w:color="auto" w:fill="002060"/>
        <w:spacing w:before="0"/>
        <w:ind w:left="720" w:hanging="720"/>
        <w:contextualSpacing/>
        <w:rPr>
          <w:rFonts w:ascii="Century Gothic" w:hAnsi="Century Gothic" w:cs="Arial"/>
          <w:noProof/>
          <w:color w:val="FFFFFF"/>
          <w:lang w:val="es-ES" w:eastAsia="es-ES"/>
        </w:rPr>
      </w:pPr>
      <w:bookmarkStart w:id="34" w:name="_Toc72858996"/>
      <w:bookmarkStart w:id="35" w:name="_Toc232673900"/>
      <w:r w:rsidRPr="00FA7341">
        <w:rPr>
          <w:rFonts w:ascii="Century Gothic" w:hAnsi="Century Gothic" w:cs="Arial"/>
          <w:noProof/>
          <w:color w:val="FFFFFF"/>
          <w:lang w:val="es-ES" w:eastAsia="es-ES"/>
        </w:rPr>
        <w:t>ANÁLISIS DE LA OFERTA</w:t>
      </w:r>
      <w:bookmarkEnd w:id="34"/>
      <w:bookmarkEnd w:id="35"/>
    </w:p>
    <w:p w14:paraId="25C22D46" w14:textId="77777777" w:rsidR="005D79F7" w:rsidRPr="00FA7341" w:rsidRDefault="005D79F7" w:rsidP="007369E7">
      <w:pPr>
        <w:spacing w:after="0" w:line="240" w:lineRule="auto"/>
        <w:jc w:val="both"/>
        <w:rPr>
          <w:rFonts w:ascii="Century Gothic" w:hAnsi="Century Gothic" w:cs="Arial"/>
          <w:highlight w:val="yellow"/>
        </w:rPr>
      </w:pPr>
    </w:p>
    <w:p w14:paraId="374CED0C" w14:textId="02EB84DF" w:rsidR="00E84321" w:rsidRPr="00FA7341" w:rsidRDefault="005D79F7" w:rsidP="007369E7">
      <w:pPr>
        <w:spacing w:after="0" w:line="240" w:lineRule="auto"/>
        <w:jc w:val="both"/>
        <w:rPr>
          <w:rFonts w:ascii="Century Gothic" w:eastAsia="Times New Roman" w:hAnsi="Century Gothic" w:cs="Arial"/>
          <w:lang w:val="es-ES" w:eastAsia="ar-SA"/>
        </w:rPr>
      </w:pPr>
      <w:r w:rsidRPr="00FA7341">
        <w:rPr>
          <w:rFonts w:ascii="Century Gothic" w:hAnsi="Century Gothic" w:cs="Arial"/>
        </w:rPr>
        <w:t>De acuerdo con el Modelo de Abastecimiento Estratégico - OFERTA, de la Agencia de Contratación Pública (periodo enero 20</w:t>
      </w:r>
      <w:r w:rsidR="00557C0E" w:rsidRPr="00FA7341">
        <w:rPr>
          <w:rFonts w:ascii="Century Gothic" w:hAnsi="Century Gothic" w:cs="Arial"/>
        </w:rPr>
        <w:t>2</w:t>
      </w:r>
      <w:r w:rsidR="007D400B">
        <w:rPr>
          <w:rFonts w:ascii="Century Gothic" w:hAnsi="Century Gothic" w:cs="Arial"/>
        </w:rPr>
        <w:t>3</w:t>
      </w:r>
      <w:r w:rsidRPr="00FA7341">
        <w:rPr>
          <w:rFonts w:ascii="Century Gothic" w:hAnsi="Century Gothic" w:cs="Arial"/>
        </w:rPr>
        <w:t xml:space="preserve"> a </w:t>
      </w:r>
      <w:r w:rsidR="007D400B">
        <w:rPr>
          <w:rFonts w:ascii="Century Gothic" w:hAnsi="Century Gothic" w:cs="Arial"/>
        </w:rPr>
        <w:t>mayo</w:t>
      </w:r>
      <w:r w:rsidRPr="00FA7341">
        <w:rPr>
          <w:rFonts w:ascii="Century Gothic" w:hAnsi="Century Gothic" w:cs="Arial"/>
        </w:rPr>
        <w:t xml:space="preserve"> 202</w:t>
      </w:r>
      <w:r w:rsidR="007D400B">
        <w:rPr>
          <w:rFonts w:ascii="Century Gothic" w:hAnsi="Century Gothic" w:cs="Arial"/>
        </w:rPr>
        <w:t>6</w:t>
      </w:r>
      <w:r w:rsidRPr="00FA7341">
        <w:rPr>
          <w:rFonts w:ascii="Century Gothic" w:hAnsi="Century Gothic" w:cs="Arial"/>
        </w:rPr>
        <w:t>), a continuación, se muestran, las cifras generales acordes con el objeto contractual</w:t>
      </w:r>
      <w:r w:rsidR="00170524" w:rsidRPr="00FA7341">
        <w:rPr>
          <w:rFonts w:ascii="Century Gothic" w:hAnsi="Century Gothic" w:cs="Arial"/>
        </w:rPr>
        <w:t xml:space="preserve"> </w:t>
      </w:r>
      <w:r w:rsidR="009F38DB" w:rsidRPr="00FA7341">
        <w:rPr>
          <w:rFonts w:ascii="Century Gothic" w:hAnsi="Century Gothic" w:cs="Arial"/>
        </w:rPr>
        <w:t>“</w:t>
      </w:r>
      <w:r w:rsidR="00FA7341" w:rsidRPr="00FA7341">
        <w:rPr>
          <w:rFonts w:ascii="Century Gothic" w:eastAsia="Arial" w:hAnsi="Century Gothic" w:cs="Arial"/>
          <w:color w:val="000000"/>
        </w:rPr>
        <w:t xml:space="preserve">ADQUISICIÓN DE </w:t>
      </w:r>
      <w:r w:rsidR="00FA7341" w:rsidRPr="00FA7341">
        <w:rPr>
          <w:rFonts w:ascii="Century Gothic" w:eastAsia="Arial" w:hAnsi="Century Gothic" w:cs="Arial"/>
          <w:color w:val="000000"/>
        </w:rPr>
        <w:lastRenderedPageBreak/>
        <w:t>BONOS O TARJETAS CANJEABLES EXCLUSIVAMENTE PARA COMPRA DE VESTUARIO Y CALZADO DE LABOR, PARA LOS SERVIDORES PÚBLICOS DE LA GOBERNACIÓN DE CUNDINAMARCA, QUE TENGAN DERECHO A LA DOTACIÓN.</w:t>
      </w:r>
      <w:r w:rsidR="009F38DB" w:rsidRPr="00FA7341">
        <w:rPr>
          <w:rFonts w:ascii="Century Gothic" w:eastAsia="Arial" w:hAnsi="Century Gothic" w:cs="Arial"/>
          <w:color w:val="000000" w:themeColor="text1"/>
        </w:rPr>
        <w:t>”</w:t>
      </w:r>
      <w:r w:rsidR="00363E3D" w:rsidRPr="00FA7341">
        <w:rPr>
          <w:rFonts w:ascii="Century Gothic" w:hAnsi="Century Gothic" w:cs="Arial"/>
          <w:color w:val="000000" w:themeColor="text1"/>
        </w:rPr>
        <w:t xml:space="preserve">, </w:t>
      </w:r>
      <w:r w:rsidR="00F04CC0" w:rsidRPr="00FA7341">
        <w:rPr>
          <w:rFonts w:ascii="Century Gothic" w:hAnsi="Century Gothic" w:cs="Arial"/>
          <w:color w:val="000000" w:themeColor="text1"/>
        </w:rPr>
        <w:t>C</w:t>
      </w:r>
      <w:r w:rsidR="00F04CC0" w:rsidRPr="00FA7341">
        <w:rPr>
          <w:rFonts w:ascii="Century Gothic" w:hAnsi="Century Gothic" w:cs="Arial"/>
        </w:rPr>
        <w:t>ódigo</w:t>
      </w:r>
      <w:r w:rsidR="00F623E2" w:rsidRPr="00FA7341">
        <w:rPr>
          <w:rFonts w:ascii="Century Gothic" w:hAnsi="Century Gothic" w:cs="Arial"/>
        </w:rPr>
        <w:t xml:space="preserve"> 46181531, 46181705, 46181604</w:t>
      </w:r>
      <w:r w:rsidR="00FA7341">
        <w:rPr>
          <w:rFonts w:ascii="Century Gothic" w:hAnsi="Century Gothic" w:cs="Arial"/>
        </w:rPr>
        <w:t>.</w:t>
      </w:r>
    </w:p>
    <w:p w14:paraId="3ABA45DC" w14:textId="77777777" w:rsidR="00DB108F" w:rsidRPr="00FA7341" w:rsidRDefault="00DB108F" w:rsidP="007369E7">
      <w:pPr>
        <w:spacing w:after="0" w:line="240" w:lineRule="auto"/>
        <w:jc w:val="both"/>
        <w:rPr>
          <w:rFonts w:ascii="Century Gothic" w:eastAsia="Times New Roman" w:hAnsi="Century Gothic" w:cs="Arial"/>
          <w:lang w:val="es-ES" w:eastAsia="ar-SA"/>
        </w:rPr>
      </w:pPr>
    </w:p>
    <w:p w14:paraId="60B62AA9" w14:textId="7818C50B" w:rsidR="00DB108F" w:rsidRPr="00FA7341" w:rsidRDefault="00DB108F" w:rsidP="00E50985">
      <w:pPr>
        <w:pStyle w:val="Descripcin"/>
        <w:spacing w:after="0"/>
        <w:jc w:val="center"/>
        <w:rPr>
          <w:rFonts w:ascii="Century Gothic" w:hAnsi="Century Gothic" w:cs="Arial"/>
          <w:color w:val="002060"/>
          <w:sz w:val="22"/>
          <w:szCs w:val="22"/>
        </w:rPr>
      </w:pPr>
      <w:bookmarkStart w:id="36" w:name="_Toc226395608"/>
      <w:r w:rsidRPr="00FA7341">
        <w:rPr>
          <w:rFonts w:ascii="Century Gothic" w:hAnsi="Century Gothic" w:cs="Arial"/>
          <w:color w:val="002060"/>
          <w:sz w:val="22"/>
          <w:szCs w:val="22"/>
        </w:rPr>
        <w:t xml:space="preserve">Gráfico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Gráfico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3</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Cantidad de contratos mensuales</w:t>
      </w:r>
      <w:bookmarkEnd w:id="36"/>
    </w:p>
    <w:p w14:paraId="02FEBBCC" w14:textId="4DEFA8E7" w:rsidR="009279BC" w:rsidRPr="00FA7341" w:rsidRDefault="00093BA1" w:rsidP="00DB108F">
      <w:pPr>
        <w:pStyle w:val="Descripcin"/>
        <w:spacing w:after="0"/>
        <w:jc w:val="center"/>
        <w:rPr>
          <w:rFonts w:ascii="Century Gothic" w:hAnsi="Century Gothic" w:cs="Arial"/>
          <w:color w:val="002060"/>
          <w:sz w:val="22"/>
          <w:szCs w:val="22"/>
        </w:rPr>
      </w:pPr>
      <w:r w:rsidRPr="00093BA1">
        <w:rPr>
          <w:rFonts w:ascii="Century Gothic" w:hAnsi="Century Gothic" w:cs="Arial"/>
          <w:noProof/>
          <w:color w:val="002060"/>
          <w:sz w:val="22"/>
          <w:szCs w:val="22"/>
        </w:rPr>
        <w:drawing>
          <wp:inline distT="0" distB="0" distL="0" distR="0" wp14:anchorId="7E2F9170" wp14:editId="01EB68A2">
            <wp:extent cx="3943900" cy="2495898"/>
            <wp:effectExtent l="0" t="0" r="0" b="0"/>
            <wp:docPr id="1112492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492252" name=""/>
                    <pic:cNvPicPr/>
                  </pic:nvPicPr>
                  <pic:blipFill>
                    <a:blip r:embed="rId22"/>
                    <a:stretch>
                      <a:fillRect/>
                    </a:stretch>
                  </pic:blipFill>
                  <pic:spPr>
                    <a:xfrm>
                      <a:off x="0" y="0"/>
                      <a:ext cx="3943900" cy="2495898"/>
                    </a:xfrm>
                    <a:prstGeom prst="rect">
                      <a:avLst/>
                    </a:prstGeom>
                  </pic:spPr>
                </pic:pic>
              </a:graphicData>
            </a:graphic>
          </wp:inline>
        </w:drawing>
      </w:r>
    </w:p>
    <w:p w14:paraId="4DE1133F" w14:textId="10750235" w:rsidR="002C6D45" w:rsidRPr="00FA7341" w:rsidRDefault="009279BC" w:rsidP="00BB5257">
      <w:pPr>
        <w:spacing w:after="0" w:line="240" w:lineRule="auto"/>
        <w:jc w:val="center"/>
        <w:rPr>
          <w:rFonts w:ascii="Century Gothic" w:hAnsi="Century Gothic" w:cs="Arial"/>
          <w:color w:val="000000"/>
        </w:rPr>
      </w:pPr>
      <w:r w:rsidRPr="00FA7341">
        <w:rPr>
          <w:rFonts w:ascii="Century Gothic" w:hAnsi="Century Gothic" w:cs="Arial"/>
          <w:color w:val="000000"/>
        </w:rPr>
        <w:t>Fuente: Colombia Compra Eficiente – Análisis de la Oferta</w:t>
      </w:r>
      <w:r w:rsidR="00DB108F" w:rsidRPr="00FA7341">
        <w:rPr>
          <w:rFonts w:ascii="Century Gothic" w:hAnsi="Century Gothic" w:cs="Arial"/>
          <w:color w:val="000000"/>
        </w:rPr>
        <w:t>.</w:t>
      </w:r>
    </w:p>
    <w:p w14:paraId="4EAC40B6" w14:textId="77777777" w:rsidR="009279BC" w:rsidRPr="00FA7341" w:rsidRDefault="009279BC" w:rsidP="007369E7">
      <w:pPr>
        <w:spacing w:after="0" w:line="240" w:lineRule="auto"/>
        <w:jc w:val="both"/>
        <w:rPr>
          <w:rFonts w:ascii="Century Gothic" w:hAnsi="Century Gothic" w:cs="Arial"/>
        </w:rPr>
      </w:pPr>
    </w:p>
    <w:p w14:paraId="69DDC67E" w14:textId="7EF09483" w:rsidR="00844D38" w:rsidRPr="00FA7341" w:rsidRDefault="009279BC" w:rsidP="0036627B">
      <w:pPr>
        <w:rPr>
          <w:rFonts w:ascii="Century Gothic" w:hAnsi="Century Gothic" w:cs="Arial"/>
          <w:color w:val="FFFFFF" w:themeColor="background1"/>
        </w:rPr>
      </w:pPr>
      <w:r w:rsidRPr="00FA7341">
        <w:rPr>
          <w:rFonts w:ascii="Century Gothic" w:hAnsi="Century Gothic" w:cs="Arial"/>
          <w:color w:val="000000" w:themeColor="text1"/>
        </w:rPr>
        <w:t>De conformidad con el</w:t>
      </w:r>
      <w:r w:rsidR="0036627B" w:rsidRPr="00FA7341">
        <w:rPr>
          <w:rFonts w:ascii="Century Gothic" w:hAnsi="Century Gothic" w:cs="Arial"/>
          <w:color w:val="000000" w:themeColor="text1"/>
        </w:rPr>
        <w:t xml:space="preserve"> Gráfico 3 </w:t>
      </w:r>
      <w:r w:rsidRPr="00FA7341">
        <w:rPr>
          <w:rFonts w:ascii="Century Gothic" w:hAnsi="Century Gothic" w:cs="Arial"/>
          <w:color w:val="000000" w:themeColor="text1"/>
        </w:rPr>
        <w:t xml:space="preserve">se puede evidenciar que se han </w:t>
      </w:r>
      <w:r w:rsidR="00EB5327" w:rsidRPr="00FA7341">
        <w:rPr>
          <w:rFonts w:ascii="Century Gothic" w:hAnsi="Century Gothic" w:cs="Arial"/>
          <w:color w:val="000000" w:themeColor="text1"/>
        </w:rPr>
        <w:t>ofertad</w:t>
      </w:r>
      <w:r w:rsidRPr="00FA7341">
        <w:rPr>
          <w:rFonts w:ascii="Century Gothic" w:hAnsi="Century Gothic" w:cs="Arial"/>
          <w:color w:val="000000" w:themeColor="text1"/>
        </w:rPr>
        <w:t xml:space="preserve">o un total de </w:t>
      </w:r>
      <w:r w:rsidR="007D400B">
        <w:rPr>
          <w:rFonts w:ascii="Century Gothic" w:hAnsi="Century Gothic" w:cs="Arial"/>
          <w:color w:val="000000" w:themeColor="text1"/>
        </w:rPr>
        <w:t>22.133</w:t>
      </w:r>
      <w:r w:rsidR="002C6D45" w:rsidRPr="00FA7341">
        <w:rPr>
          <w:rFonts w:ascii="Century Gothic" w:hAnsi="Century Gothic" w:cs="Arial"/>
          <w:color w:val="000000" w:themeColor="text1"/>
        </w:rPr>
        <w:t xml:space="preserve"> </w:t>
      </w:r>
      <w:r w:rsidRPr="00FA7341">
        <w:rPr>
          <w:rFonts w:ascii="Century Gothic" w:hAnsi="Century Gothic" w:cs="Arial"/>
          <w:color w:val="000000" w:themeColor="text1"/>
        </w:rPr>
        <w:t>contratos, en el período de</w:t>
      </w:r>
      <w:r w:rsidR="00F050F9" w:rsidRPr="00FA7341">
        <w:rPr>
          <w:rFonts w:ascii="Century Gothic" w:hAnsi="Century Gothic" w:cs="Arial"/>
          <w:color w:val="000000" w:themeColor="text1"/>
        </w:rPr>
        <w:t xml:space="preserve"> </w:t>
      </w:r>
      <w:r w:rsidR="00985FA7" w:rsidRPr="00FA7341">
        <w:rPr>
          <w:rFonts w:ascii="Century Gothic" w:hAnsi="Century Gothic" w:cs="Arial"/>
          <w:color w:val="000000" w:themeColor="text1"/>
        </w:rPr>
        <w:t>enero</w:t>
      </w:r>
      <w:r w:rsidR="00844D38" w:rsidRPr="00FA7341">
        <w:rPr>
          <w:rFonts w:ascii="Century Gothic" w:hAnsi="Century Gothic" w:cs="Arial"/>
          <w:color w:val="000000" w:themeColor="text1"/>
        </w:rPr>
        <w:t xml:space="preserve"> de 202</w:t>
      </w:r>
      <w:r w:rsidR="007D400B">
        <w:rPr>
          <w:rFonts w:ascii="Century Gothic" w:hAnsi="Century Gothic" w:cs="Arial"/>
          <w:color w:val="000000" w:themeColor="text1"/>
        </w:rPr>
        <w:t>4</w:t>
      </w:r>
      <w:r w:rsidR="00844D38" w:rsidRPr="00FA7341">
        <w:rPr>
          <w:rFonts w:ascii="Century Gothic" w:hAnsi="Century Gothic" w:cs="Arial"/>
          <w:color w:val="000000" w:themeColor="text1"/>
        </w:rPr>
        <w:t xml:space="preserve"> a</w:t>
      </w:r>
      <w:r w:rsidR="00985FA7" w:rsidRPr="00FA7341">
        <w:rPr>
          <w:rFonts w:ascii="Century Gothic" w:hAnsi="Century Gothic" w:cs="Arial"/>
          <w:color w:val="000000" w:themeColor="text1"/>
        </w:rPr>
        <w:t xml:space="preserve"> </w:t>
      </w:r>
      <w:r w:rsidR="007D400B">
        <w:rPr>
          <w:rFonts w:ascii="Century Gothic" w:hAnsi="Century Gothic" w:cs="Arial"/>
          <w:color w:val="000000" w:themeColor="text1"/>
        </w:rPr>
        <w:t>mayo</w:t>
      </w:r>
      <w:r w:rsidR="00844D38" w:rsidRPr="00FA7341">
        <w:rPr>
          <w:rFonts w:ascii="Century Gothic" w:hAnsi="Century Gothic" w:cs="Arial"/>
          <w:color w:val="000000" w:themeColor="text1"/>
        </w:rPr>
        <w:t xml:space="preserve"> de </w:t>
      </w:r>
      <w:bookmarkStart w:id="37" w:name="_Ref174627592"/>
      <w:r w:rsidR="005772BF" w:rsidRPr="00FA7341">
        <w:rPr>
          <w:rFonts w:ascii="Century Gothic" w:hAnsi="Century Gothic" w:cs="Arial"/>
          <w:color w:val="000000" w:themeColor="text1"/>
        </w:rPr>
        <w:t>202</w:t>
      </w:r>
      <w:r w:rsidR="007D400B">
        <w:rPr>
          <w:rFonts w:ascii="Century Gothic" w:hAnsi="Century Gothic" w:cs="Arial"/>
          <w:color w:val="000000" w:themeColor="text1"/>
        </w:rPr>
        <w:t>6</w:t>
      </w:r>
      <w:r w:rsidR="005772BF" w:rsidRPr="00FA7341">
        <w:rPr>
          <w:rFonts w:ascii="Century Gothic" w:hAnsi="Century Gothic" w:cs="Arial"/>
          <w:color w:val="000000" w:themeColor="text1"/>
        </w:rPr>
        <w:t>.</w:t>
      </w:r>
      <w:r w:rsidR="00844D38" w:rsidRPr="00FA7341">
        <w:rPr>
          <w:rFonts w:ascii="Century Gothic" w:hAnsi="Century Gothic" w:cs="Arial"/>
          <w:color w:val="FFFFFF" w:themeColor="background1"/>
        </w:rPr>
        <w:t xml:space="preserve"> </w:t>
      </w:r>
    </w:p>
    <w:p w14:paraId="1997A7DA" w14:textId="3F603BAA" w:rsidR="000657DD" w:rsidRPr="00FA7341" w:rsidRDefault="00B820C7" w:rsidP="007369E7">
      <w:pPr>
        <w:spacing w:after="0"/>
        <w:jc w:val="both"/>
        <w:rPr>
          <w:rFonts w:ascii="Century Gothic" w:hAnsi="Century Gothic" w:cs="Arial"/>
          <w:color w:val="FFFFFF" w:themeColor="background1"/>
        </w:rPr>
      </w:pPr>
      <w:r w:rsidRPr="00FA7341">
        <w:rPr>
          <w:rFonts w:ascii="Century Gothic" w:hAnsi="Century Gothic" w:cs="Arial"/>
          <w:color w:val="FFFFFF" w:themeColor="background1"/>
        </w:rPr>
        <w:t xml:space="preserve"> </w:t>
      </w:r>
    </w:p>
    <w:p w14:paraId="60E1AF96" w14:textId="6AF28A5B" w:rsidR="00B01851" w:rsidRPr="00FA7341" w:rsidRDefault="009279BC" w:rsidP="00B01851">
      <w:pPr>
        <w:spacing w:after="0"/>
        <w:jc w:val="center"/>
        <w:rPr>
          <w:rFonts w:ascii="Century Gothic" w:hAnsi="Century Gothic" w:cs="Arial"/>
          <w:b/>
          <w:bCs/>
          <w:color w:val="002060"/>
        </w:rPr>
      </w:pPr>
      <w:bookmarkStart w:id="38" w:name="_Toc226395609"/>
      <w:r w:rsidRPr="00FA7341">
        <w:rPr>
          <w:rFonts w:ascii="Century Gothic" w:hAnsi="Century Gothic" w:cs="Arial"/>
          <w:b/>
          <w:bCs/>
          <w:color w:val="002060"/>
        </w:rPr>
        <w:t xml:space="preserve">Gráfico </w:t>
      </w:r>
      <w:r w:rsidRPr="00FA7341">
        <w:rPr>
          <w:rFonts w:ascii="Century Gothic" w:hAnsi="Century Gothic" w:cs="Arial"/>
          <w:b/>
          <w:bCs/>
          <w:color w:val="002060"/>
        </w:rPr>
        <w:fldChar w:fldCharType="begin"/>
      </w:r>
      <w:r w:rsidRPr="00FA7341">
        <w:rPr>
          <w:rFonts w:ascii="Century Gothic" w:hAnsi="Century Gothic" w:cs="Arial"/>
          <w:b/>
          <w:bCs/>
          <w:color w:val="002060"/>
        </w:rPr>
        <w:instrText xml:space="preserve"> SEQ Gráfico \* ARABIC </w:instrText>
      </w:r>
      <w:r w:rsidRPr="00FA7341">
        <w:rPr>
          <w:rFonts w:ascii="Century Gothic" w:hAnsi="Century Gothic" w:cs="Arial"/>
          <w:b/>
          <w:bCs/>
          <w:color w:val="002060"/>
        </w:rPr>
        <w:fldChar w:fldCharType="separate"/>
      </w:r>
      <w:r w:rsidR="00030ED5" w:rsidRPr="00FA7341">
        <w:rPr>
          <w:rFonts w:ascii="Century Gothic" w:hAnsi="Century Gothic" w:cs="Arial"/>
          <w:b/>
          <w:bCs/>
          <w:noProof/>
          <w:color w:val="002060"/>
        </w:rPr>
        <w:t>4</w:t>
      </w:r>
      <w:r w:rsidRPr="00FA7341">
        <w:rPr>
          <w:rFonts w:ascii="Century Gothic" w:hAnsi="Century Gothic" w:cs="Arial"/>
          <w:b/>
          <w:bCs/>
          <w:color w:val="002060"/>
        </w:rPr>
        <w:fldChar w:fldCharType="end"/>
      </w:r>
      <w:r w:rsidRPr="00FA7341">
        <w:rPr>
          <w:rFonts w:ascii="Century Gothic" w:hAnsi="Century Gothic" w:cs="Arial"/>
          <w:b/>
          <w:bCs/>
          <w:color w:val="002060"/>
        </w:rPr>
        <w:t xml:space="preserve"> Modalidad de contratación</w:t>
      </w:r>
      <w:bookmarkEnd w:id="37"/>
      <w:bookmarkEnd w:id="38"/>
    </w:p>
    <w:p w14:paraId="3D9ADB7D" w14:textId="60C32E58" w:rsidR="009279BC" w:rsidRPr="00FA7341" w:rsidRDefault="00093BA1" w:rsidP="00B01851">
      <w:pPr>
        <w:spacing w:after="0" w:line="240" w:lineRule="auto"/>
        <w:jc w:val="center"/>
        <w:rPr>
          <w:rFonts w:ascii="Century Gothic" w:hAnsi="Century Gothic" w:cs="Arial"/>
        </w:rPr>
      </w:pPr>
      <w:r w:rsidRPr="00093BA1">
        <w:rPr>
          <w:rFonts w:ascii="Century Gothic" w:hAnsi="Century Gothic" w:cs="Arial"/>
          <w:noProof/>
        </w:rPr>
        <w:drawing>
          <wp:inline distT="0" distB="0" distL="0" distR="0" wp14:anchorId="3AD5DBE8" wp14:editId="7C7B6D61">
            <wp:extent cx="5612130" cy="2327275"/>
            <wp:effectExtent l="0" t="0" r="7620" b="0"/>
            <wp:docPr id="955024041"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24041" name="Imagen 1" descr="Gráfico, Gráfico de barras&#10;&#10;El contenido generado por IA puede ser incorrecto."/>
                    <pic:cNvPicPr/>
                  </pic:nvPicPr>
                  <pic:blipFill>
                    <a:blip r:embed="rId23"/>
                    <a:stretch>
                      <a:fillRect/>
                    </a:stretch>
                  </pic:blipFill>
                  <pic:spPr>
                    <a:xfrm>
                      <a:off x="0" y="0"/>
                      <a:ext cx="5612130" cy="2327275"/>
                    </a:xfrm>
                    <a:prstGeom prst="rect">
                      <a:avLst/>
                    </a:prstGeom>
                  </pic:spPr>
                </pic:pic>
              </a:graphicData>
            </a:graphic>
          </wp:inline>
        </w:drawing>
      </w:r>
    </w:p>
    <w:p w14:paraId="6CFA4390" w14:textId="78D8E44C" w:rsidR="009279BC" w:rsidRPr="00FA7341" w:rsidRDefault="009279BC" w:rsidP="00B01851">
      <w:pPr>
        <w:spacing w:after="0" w:line="240" w:lineRule="auto"/>
        <w:jc w:val="center"/>
        <w:rPr>
          <w:rFonts w:ascii="Century Gothic" w:hAnsi="Century Gothic" w:cs="Arial"/>
          <w:color w:val="000000"/>
        </w:rPr>
      </w:pPr>
      <w:r w:rsidRPr="00FA7341">
        <w:rPr>
          <w:rFonts w:ascii="Century Gothic" w:hAnsi="Century Gothic" w:cs="Arial"/>
          <w:color w:val="000000"/>
        </w:rPr>
        <w:t xml:space="preserve">Fuente: Colombia Compra Eficiente – Análisis de la Oferta </w:t>
      </w:r>
    </w:p>
    <w:p w14:paraId="24917C58" w14:textId="77777777" w:rsidR="00ED0253" w:rsidRPr="00FA7341" w:rsidRDefault="00ED0253" w:rsidP="00844D38">
      <w:pPr>
        <w:spacing w:after="0" w:line="240" w:lineRule="auto"/>
        <w:rPr>
          <w:rFonts w:ascii="Century Gothic" w:hAnsi="Century Gothic" w:cs="Arial"/>
          <w:color w:val="000000"/>
        </w:rPr>
      </w:pPr>
    </w:p>
    <w:p w14:paraId="3E68F583" w14:textId="77777777" w:rsidR="00030ED5" w:rsidRPr="00FA7341" w:rsidRDefault="009279BC" w:rsidP="007369E7">
      <w:pPr>
        <w:spacing w:after="0"/>
        <w:jc w:val="both"/>
        <w:rPr>
          <w:rFonts w:ascii="Century Gothic" w:hAnsi="Century Gothic" w:cs="Arial"/>
          <w:noProof/>
          <w:color w:val="000000" w:themeColor="text1"/>
        </w:rPr>
      </w:pPr>
      <w:r w:rsidRPr="00FA7341">
        <w:rPr>
          <w:rFonts w:ascii="Century Gothic" w:hAnsi="Century Gothic" w:cs="Arial"/>
          <w:color w:val="000000" w:themeColor="text1"/>
        </w:rPr>
        <w:t>Como se puede evidenciar en</w:t>
      </w:r>
      <w:r w:rsidR="00ED5019" w:rsidRPr="00FA7341">
        <w:rPr>
          <w:rFonts w:ascii="Century Gothic" w:hAnsi="Century Gothic" w:cs="Arial"/>
          <w:color w:val="000000" w:themeColor="text1"/>
        </w:rPr>
        <w:t xml:space="preserve"> el</w:t>
      </w:r>
      <w:r w:rsidRPr="00FA7341">
        <w:rPr>
          <w:rFonts w:ascii="Century Gothic" w:hAnsi="Century Gothic" w:cs="Arial"/>
          <w:color w:val="000000" w:themeColor="text1"/>
        </w:rPr>
        <w:t xml:space="preserve"> </w:t>
      </w:r>
      <w:r w:rsidRPr="00FA7341">
        <w:rPr>
          <w:rFonts w:ascii="Century Gothic" w:hAnsi="Century Gothic" w:cs="Arial"/>
          <w:color w:val="000000" w:themeColor="text1"/>
        </w:rPr>
        <w:fldChar w:fldCharType="begin"/>
      </w:r>
      <w:r w:rsidRPr="00FA7341">
        <w:rPr>
          <w:rFonts w:ascii="Century Gothic" w:hAnsi="Century Gothic" w:cs="Arial"/>
          <w:color w:val="000000" w:themeColor="text1"/>
        </w:rPr>
        <w:instrText xml:space="preserve"> REF _Ref174627592 \h </w:instrText>
      </w:r>
      <w:r w:rsidR="00B31A64" w:rsidRPr="00FA7341">
        <w:rPr>
          <w:rFonts w:ascii="Century Gothic" w:hAnsi="Century Gothic" w:cs="Arial"/>
          <w:color w:val="000000" w:themeColor="text1"/>
        </w:rPr>
        <w:instrText xml:space="preserve"> \* MERGEFORMAT </w:instrText>
      </w:r>
      <w:r w:rsidRPr="00FA7341">
        <w:rPr>
          <w:rFonts w:ascii="Century Gothic" w:hAnsi="Century Gothic" w:cs="Arial"/>
          <w:color w:val="000000" w:themeColor="text1"/>
        </w:rPr>
      </w:r>
      <w:r w:rsidRPr="00FA7341">
        <w:rPr>
          <w:rFonts w:ascii="Century Gothic" w:hAnsi="Century Gothic" w:cs="Arial"/>
          <w:color w:val="000000" w:themeColor="text1"/>
        </w:rPr>
        <w:fldChar w:fldCharType="separate"/>
      </w:r>
      <w:r w:rsidR="00030ED5" w:rsidRPr="00FA7341">
        <w:rPr>
          <w:rFonts w:ascii="Century Gothic" w:hAnsi="Century Gothic" w:cs="Arial"/>
          <w:color w:val="000000" w:themeColor="text1"/>
        </w:rPr>
        <w:t xml:space="preserve">2025. </w:t>
      </w:r>
    </w:p>
    <w:p w14:paraId="5B9F87D1" w14:textId="77777777" w:rsidR="00030ED5" w:rsidRPr="00FA7341" w:rsidRDefault="00030ED5" w:rsidP="007369E7">
      <w:pPr>
        <w:spacing w:after="0"/>
        <w:jc w:val="both"/>
        <w:rPr>
          <w:rFonts w:ascii="Century Gothic" w:hAnsi="Century Gothic" w:cs="Arial"/>
          <w:color w:val="000000" w:themeColor="text1"/>
        </w:rPr>
      </w:pPr>
      <w:r w:rsidRPr="00FA7341">
        <w:rPr>
          <w:rFonts w:ascii="Century Gothic" w:hAnsi="Century Gothic" w:cs="Arial"/>
          <w:color w:val="000000" w:themeColor="text1"/>
        </w:rPr>
        <w:t xml:space="preserve"> </w:t>
      </w:r>
    </w:p>
    <w:p w14:paraId="652958B3" w14:textId="3F46167E" w:rsidR="00E579CD" w:rsidRPr="00FA7341" w:rsidRDefault="00030ED5" w:rsidP="007369E7">
      <w:pPr>
        <w:spacing w:after="0"/>
        <w:jc w:val="both"/>
        <w:rPr>
          <w:rFonts w:ascii="Century Gothic" w:hAnsi="Century Gothic" w:cs="Arial"/>
          <w:color w:val="000000" w:themeColor="text1"/>
        </w:rPr>
      </w:pPr>
      <w:r w:rsidRPr="00FA7341">
        <w:rPr>
          <w:rFonts w:ascii="Century Gothic" w:hAnsi="Century Gothic" w:cs="Arial"/>
          <w:color w:val="000000" w:themeColor="text1"/>
        </w:rPr>
        <w:t xml:space="preserve">Gráfico 4 </w:t>
      </w:r>
      <w:r w:rsidRPr="00FA7341">
        <w:rPr>
          <w:rFonts w:ascii="Century Gothic" w:hAnsi="Century Gothic" w:cs="Arial"/>
          <w:b/>
          <w:bCs/>
          <w:color w:val="002060"/>
        </w:rPr>
        <w:t>Modalidad de contratación</w:t>
      </w:r>
      <w:r w:rsidR="009279BC" w:rsidRPr="00FA7341">
        <w:rPr>
          <w:rFonts w:ascii="Century Gothic" w:hAnsi="Century Gothic" w:cs="Arial"/>
          <w:color w:val="000000" w:themeColor="text1"/>
        </w:rPr>
        <w:fldChar w:fldCharType="end"/>
      </w:r>
      <w:r w:rsidR="009279BC" w:rsidRPr="00FA7341">
        <w:rPr>
          <w:rFonts w:ascii="Century Gothic" w:hAnsi="Century Gothic" w:cs="Arial"/>
          <w:color w:val="000000" w:themeColor="text1"/>
        </w:rPr>
        <w:t xml:space="preserve">, se han </w:t>
      </w:r>
      <w:r w:rsidR="00EB5327" w:rsidRPr="00FA7341">
        <w:rPr>
          <w:rFonts w:ascii="Century Gothic" w:hAnsi="Century Gothic" w:cs="Arial"/>
          <w:color w:val="000000" w:themeColor="text1"/>
        </w:rPr>
        <w:t xml:space="preserve">ofertado </w:t>
      </w:r>
      <w:r w:rsidR="009279BC" w:rsidRPr="00FA7341">
        <w:rPr>
          <w:rFonts w:ascii="Century Gothic" w:hAnsi="Century Gothic" w:cs="Arial"/>
          <w:color w:val="000000" w:themeColor="text1"/>
        </w:rPr>
        <w:t xml:space="preserve">procesos </w:t>
      </w:r>
      <w:r w:rsidR="00F74D2E" w:rsidRPr="00FA7341">
        <w:rPr>
          <w:rFonts w:ascii="Century Gothic" w:hAnsi="Century Gothic" w:cs="Arial"/>
          <w:color w:val="000000" w:themeColor="text1"/>
        </w:rPr>
        <w:t>por la modalidad de</w:t>
      </w:r>
      <w:r w:rsidR="00631218" w:rsidRPr="00FA7341">
        <w:rPr>
          <w:rFonts w:ascii="Century Gothic" w:hAnsi="Century Gothic" w:cs="Arial"/>
          <w:color w:val="000000" w:themeColor="text1"/>
        </w:rPr>
        <w:t xml:space="preserve"> </w:t>
      </w:r>
      <w:r w:rsidR="00FF5378" w:rsidRPr="00FA7341">
        <w:rPr>
          <w:rFonts w:ascii="Century Gothic" w:hAnsi="Century Gothic" w:cs="Arial"/>
          <w:color w:val="000000" w:themeColor="text1"/>
        </w:rPr>
        <w:t>selecci</w:t>
      </w:r>
      <w:r w:rsidR="00B97607" w:rsidRPr="00FA7341">
        <w:rPr>
          <w:rFonts w:ascii="Century Gothic" w:hAnsi="Century Gothic" w:cs="Arial"/>
          <w:color w:val="000000" w:themeColor="text1"/>
        </w:rPr>
        <w:t>ón abreviada por subas</w:t>
      </w:r>
      <w:r w:rsidR="00B5763E" w:rsidRPr="00FA7341">
        <w:rPr>
          <w:rFonts w:ascii="Century Gothic" w:hAnsi="Century Gothic" w:cs="Arial"/>
          <w:color w:val="000000" w:themeColor="text1"/>
        </w:rPr>
        <w:t>ta inversa</w:t>
      </w:r>
      <w:r w:rsidR="002C6D45" w:rsidRPr="00FA7341">
        <w:rPr>
          <w:rFonts w:ascii="Century Gothic" w:hAnsi="Century Gothic" w:cs="Arial"/>
          <w:color w:val="000000" w:themeColor="text1"/>
        </w:rPr>
        <w:t xml:space="preserve"> </w:t>
      </w:r>
      <w:r w:rsidR="00F74D2E" w:rsidRPr="00FA7341">
        <w:rPr>
          <w:rFonts w:ascii="Century Gothic" w:hAnsi="Century Gothic" w:cs="Arial"/>
          <w:color w:val="000000" w:themeColor="text1"/>
        </w:rPr>
        <w:t xml:space="preserve">por un valor que asciende a los </w:t>
      </w:r>
      <w:r w:rsidR="00064B04" w:rsidRPr="00FA7341">
        <w:rPr>
          <w:rFonts w:ascii="Century Gothic" w:hAnsi="Century Gothic" w:cs="Arial"/>
          <w:color w:val="000000" w:themeColor="text1"/>
        </w:rPr>
        <w:t>$</w:t>
      </w:r>
      <w:r w:rsidR="00093BA1" w:rsidRPr="00093BA1">
        <w:t xml:space="preserve"> </w:t>
      </w:r>
      <w:r w:rsidR="00093BA1" w:rsidRPr="00093BA1">
        <w:rPr>
          <w:rFonts w:ascii="Century Gothic" w:hAnsi="Century Gothic" w:cs="Arial"/>
          <w:color w:val="000000" w:themeColor="text1"/>
        </w:rPr>
        <w:t>$726.061.462.001 Setecientos veintiséis mil sesenta y un millones cuatrocientos sesenta y dos mil un peso</w:t>
      </w:r>
      <w:r w:rsidR="00E579CD" w:rsidRPr="00FA7341">
        <w:rPr>
          <w:rFonts w:ascii="Century Gothic" w:hAnsi="Century Gothic" w:cs="Arial"/>
          <w:color w:val="000000" w:themeColor="text1"/>
        </w:rPr>
        <w:t xml:space="preserve">. </w:t>
      </w:r>
    </w:p>
    <w:p w14:paraId="67BB0E6D" w14:textId="7BC58FC4" w:rsidR="009279BC" w:rsidRPr="00FA7341" w:rsidRDefault="00F74D2E" w:rsidP="007369E7">
      <w:pPr>
        <w:spacing w:after="0"/>
        <w:jc w:val="both"/>
        <w:rPr>
          <w:rFonts w:ascii="Century Gothic" w:hAnsi="Century Gothic" w:cs="Arial"/>
          <w:color w:val="000000" w:themeColor="text1"/>
        </w:rPr>
      </w:pPr>
      <w:r w:rsidRPr="00FA7341">
        <w:rPr>
          <w:rFonts w:ascii="Century Gothic" w:hAnsi="Century Gothic" w:cs="Arial"/>
          <w:color w:val="000000" w:themeColor="text1"/>
        </w:rPr>
        <w:t xml:space="preserve"> </w:t>
      </w:r>
    </w:p>
    <w:p w14:paraId="0E254DC2" w14:textId="14F7A678" w:rsidR="00A9112F" w:rsidRPr="00FA7341" w:rsidRDefault="00E579CD" w:rsidP="00E579CD">
      <w:pPr>
        <w:pStyle w:val="Descripcin"/>
        <w:spacing w:after="0"/>
        <w:jc w:val="center"/>
        <w:rPr>
          <w:rFonts w:ascii="Century Gothic" w:hAnsi="Century Gothic" w:cs="Arial"/>
          <w:color w:val="002060"/>
          <w:sz w:val="22"/>
          <w:szCs w:val="22"/>
        </w:rPr>
      </w:pPr>
      <w:bookmarkStart w:id="39" w:name="_Toc226395610"/>
      <w:r w:rsidRPr="00FA7341">
        <w:rPr>
          <w:rFonts w:ascii="Century Gothic" w:hAnsi="Century Gothic" w:cs="Arial"/>
          <w:color w:val="002060"/>
          <w:sz w:val="22"/>
          <w:szCs w:val="22"/>
        </w:rPr>
        <w:t xml:space="preserve">Gráfico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Gráfico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5</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Cantidad de contratos por proveedores plurales</w:t>
      </w:r>
      <w:bookmarkEnd w:id="39"/>
    </w:p>
    <w:p w14:paraId="143D02B0" w14:textId="4BCEE2A1" w:rsidR="00E579CD" w:rsidRDefault="00093BA1" w:rsidP="00D86046">
      <w:pPr>
        <w:pStyle w:val="Descripcin"/>
        <w:spacing w:after="0"/>
        <w:jc w:val="center"/>
        <w:rPr>
          <w:rFonts w:ascii="Century Gothic" w:hAnsi="Century Gothic" w:cs="Arial"/>
          <w:color w:val="002060"/>
          <w:sz w:val="22"/>
          <w:szCs w:val="22"/>
        </w:rPr>
      </w:pPr>
      <w:r w:rsidRPr="00093BA1">
        <w:rPr>
          <w:rFonts w:ascii="Century Gothic" w:hAnsi="Century Gothic" w:cs="Arial"/>
          <w:noProof/>
          <w:color w:val="002060"/>
          <w:sz w:val="22"/>
          <w:szCs w:val="22"/>
        </w:rPr>
        <w:drawing>
          <wp:inline distT="0" distB="0" distL="0" distR="0" wp14:anchorId="5AD91F31" wp14:editId="32D580F9">
            <wp:extent cx="4505954" cy="2486372"/>
            <wp:effectExtent l="0" t="0" r="9525" b="9525"/>
            <wp:docPr id="1446048778"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048778" name="Imagen 1" descr="Interfaz de usuario gráfica, Aplicación&#10;&#10;El contenido generado por IA puede ser incorrecto."/>
                    <pic:cNvPicPr/>
                  </pic:nvPicPr>
                  <pic:blipFill>
                    <a:blip r:embed="rId24"/>
                    <a:stretch>
                      <a:fillRect/>
                    </a:stretch>
                  </pic:blipFill>
                  <pic:spPr>
                    <a:xfrm>
                      <a:off x="0" y="0"/>
                      <a:ext cx="4505954" cy="2486372"/>
                    </a:xfrm>
                    <a:prstGeom prst="rect">
                      <a:avLst/>
                    </a:prstGeom>
                  </pic:spPr>
                </pic:pic>
              </a:graphicData>
            </a:graphic>
          </wp:inline>
        </w:drawing>
      </w:r>
    </w:p>
    <w:p w14:paraId="243EFB40" w14:textId="77777777" w:rsidR="00093BA1" w:rsidRPr="00093BA1" w:rsidRDefault="00093BA1" w:rsidP="00093BA1"/>
    <w:p w14:paraId="0641DC6D" w14:textId="778CE583" w:rsidR="00E579CD" w:rsidRPr="00FA7341" w:rsidRDefault="00E579CD" w:rsidP="00D86046">
      <w:pPr>
        <w:pStyle w:val="Descripcin"/>
        <w:spacing w:after="0"/>
        <w:jc w:val="center"/>
        <w:rPr>
          <w:rFonts w:ascii="Century Gothic" w:hAnsi="Century Gothic" w:cs="Arial"/>
          <w:b w:val="0"/>
          <w:bCs w:val="0"/>
          <w:color w:val="002060"/>
          <w:sz w:val="22"/>
          <w:szCs w:val="22"/>
        </w:rPr>
      </w:pPr>
      <w:r w:rsidRPr="00FA7341">
        <w:rPr>
          <w:rFonts w:ascii="Century Gothic" w:hAnsi="Century Gothic" w:cs="Arial"/>
          <w:b w:val="0"/>
          <w:bCs w:val="0"/>
          <w:color w:val="000000"/>
          <w:sz w:val="22"/>
          <w:szCs w:val="22"/>
        </w:rPr>
        <w:t>Fuente: Colombia Compra Eficiente – Análisis de la Oferta</w:t>
      </w:r>
    </w:p>
    <w:p w14:paraId="6191D457" w14:textId="77777777" w:rsidR="000F7FF9" w:rsidRPr="00FA7341" w:rsidRDefault="000F7FF9" w:rsidP="00E579CD">
      <w:pPr>
        <w:spacing w:after="0" w:line="240" w:lineRule="auto"/>
        <w:rPr>
          <w:rFonts w:ascii="Century Gothic" w:hAnsi="Century Gothic" w:cs="Arial"/>
        </w:rPr>
      </w:pPr>
    </w:p>
    <w:p w14:paraId="328BFFDF" w14:textId="16ABBB4C" w:rsidR="009279BC" w:rsidRPr="00FA7341" w:rsidRDefault="000A6771" w:rsidP="007369E7">
      <w:pPr>
        <w:spacing w:after="0" w:line="240" w:lineRule="auto"/>
        <w:jc w:val="both"/>
        <w:rPr>
          <w:rFonts w:ascii="Century Gothic" w:hAnsi="Century Gothic" w:cs="Arial"/>
        </w:rPr>
      </w:pPr>
      <w:r w:rsidRPr="00FA7341">
        <w:rPr>
          <w:rFonts w:ascii="Century Gothic" w:hAnsi="Century Gothic" w:cs="Arial"/>
        </w:rPr>
        <w:t xml:space="preserve">Se observa que </w:t>
      </w:r>
      <w:r w:rsidR="00F13EBA" w:rsidRPr="00FA7341">
        <w:rPr>
          <w:rFonts w:ascii="Century Gothic" w:hAnsi="Century Gothic" w:cs="Arial"/>
        </w:rPr>
        <w:t>el</w:t>
      </w:r>
      <w:r w:rsidR="002C6D45" w:rsidRPr="00FA7341">
        <w:rPr>
          <w:rFonts w:ascii="Century Gothic" w:hAnsi="Century Gothic" w:cs="Arial"/>
          <w:color w:val="000000" w:themeColor="text1"/>
        </w:rPr>
        <w:t xml:space="preserve"> </w:t>
      </w:r>
      <w:r w:rsidR="00093BA1">
        <w:rPr>
          <w:rFonts w:ascii="Century Gothic" w:hAnsi="Century Gothic" w:cs="Arial"/>
          <w:color w:val="000000" w:themeColor="text1"/>
        </w:rPr>
        <w:t>78</w:t>
      </w:r>
      <w:r w:rsidR="007A21E1" w:rsidRPr="00FA7341">
        <w:rPr>
          <w:rFonts w:ascii="Century Gothic" w:hAnsi="Century Gothic" w:cs="Arial"/>
          <w:color w:val="000000" w:themeColor="text1"/>
        </w:rPr>
        <w:t>,</w:t>
      </w:r>
      <w:r w:rsidR="00093BA1">
        <w:rPr>
          <w:rFonts w:ascii="Century Gothic" w:hAnsi="Century Gothic" w:cs="Arial"/>
          <w:color w:val="000000" w:themeColor="text1"/>
        </w:rPr>
        <w:t>75</w:t>
      </w:r>
      <w:r w:rsidR="007A21E1" w:rsidRPr="00FA7341">
        <w:rPr>
          <w:rFonts w:ascii="Century Gothic" w:hAnsi="Century Gothic" w:cs="Arial"/>
          <w:color w:val="000000" w:themeColor="text1"/>
        </w:rPr>
        <w:t xml:space="preserve">% </w:t>
      </w:r>
      <w:r w:rsidRPr="00FA7341">
        <w:rPr>
          <w:rFonts w:ascii="Century Gothic" w:hAnsi="Century Gothic" w:cs="Arial"/>
        </w:rPr>
        <w:t xml:space="preserve">de los contratos </w:t>
      </w:r>
      <w:r w:rsidR="00EB5327" w:rsidRPr="00FA7341">
        <w:rPr>
          <w:rFonts w:ascii="Century Gothic" w:hAnsi="Century Gothic" w:cs="Arial"/>
        </w:rPr>
        <w:t xml:space="preserve">ofertados </w:t>
      </w:r>
      <w:r w:rsidRPr="00FA7341">
        <w:rPr>
          <w:rFonts w:ascii="Century Gothic" w:hAnsi="Century Gothic" w:cs="Arial"/>
        </w:rPr>
        <w:t xml:space="preserve">han sido por proveedores que </w:t>
      </w:r>
      <w:r w:rsidRPr="00FA7341">
        <w:rPr>
          <w:rFonts w:ascii="Century Gothic" w:hAnsi="Century Gothic" w:cs="Arial"/>
          <w:color w:val="000000" w:themeColor="text1"/>
        </w:rPr>
        <w:t xml:space="preserve">no poseen una estructura plural, reflejando un monto contratado que asciende a los </w:t>
      </w:r>
      <w:r w:rsidR="00093BA1" w:rsidRPr="00093BA1">
        <w:rPr>
          <w:rFonts w:ascii="Century Gothic" w:hAnsi="Century Gothic" w:cs="Arial"/>
          <w:color w:val="000000" w:themeColor="text1"/>
        </w:rPr>
        <w:t>$726.061.462.001 Setecientos veintiséis mil sesenta y un millones cuatrocientos sesenta y dos mil un peso</w:t>
      </w:r>
      <w:r w:rsidRPr="00FA7341">
        <w:rPr>
          <w:rFonts w:ascii="Century Gothic" w:hAnsi="Century Gothic" w:cs="Arial"/>
          <w:color w:val="000000" w:themeColor="text1"/>
        </w:rPr>
        <w:t xml:space="preserve">. </w:t>
      </w:r>
    </w:p>
    <w:p w14:paraId="3B224B5B" w14:textId="77777777" w:rsidR="00F940DC" w:rsidRPr="00FA7341" w:rsidRDefault="00F940DC" w:rsidP="007369E7">
      <w:pPr>
        <w:spacing w:after="0" w:line="240" w:lineRule="auto"/>
        <w:jc w:val="both"/>
        <w:rPr>
          <w:rFonts w:ascii="Century Gothic" w:hAnsi="Century Gothic" w:cs="Arial"/>
          <w:b/>
          <w:bCs/>
          <w:color w:val="002060"/>
        </w:rPr>
      </w:pPr>
    </w:p>
    <w:p w14:paraId="3FE3E7ED" w14:textId="1DF976C3" w:rsidR="000F7FF9" w:rsidRPr="00FA7341" w:rsidRDefault="00F940DC" w:rsidP="00F940DC">
      <w:pPr>
        <w:spacing w:after="0" w:line="240" w:lineRule="auto"/>
        <w:jc w:val="center"/>
        <w:rPr>
          <w:rFonts w:ascii="Century Gothic" w:hAnsi="Century Gothic" w:cs="Arial"/>
          <w:b/>
          <w:bCs/>
        </w:rPr>
      </w:pPr>
      <w:bookmarkStart w:id="40" w:name="_Toc226395611"/>
      <w:r w:rsidRPr="00FA7341">
        <w:rPr>
          <w:rFonts w:ascii="Century Gothic" w:hAnsi="Century Gothic" w:cs="Arial"/>
          <w:b/>
          <w:bCs/>
          <w:color w:val="002060"/>
        </w:rPr>
        <w:t xml:space="preserve">Gráfico </w:t>
      </w:r>
      <w:r w:rsidRPr="00FA7341">
        <w:rPr>
          <w:rFonts w:ascii="Century Gothic" w:hAnsi="Century Gothic" w:cs="Arial"/>
          <w:b/>
          <w:bCs/>
          <w:color w:val="002060"/>
        </w:rPr>
        <w:fldChar w:fldCharType="begin"/>
      </w:r>
      <w:r w:rsidRPr="00FA7341">
        <w:rPr>
          <w:rFonts w:ascii="Century Gothic" w:hAnsi="Century Gothic" w:cs="Arial"/>
          <w:b/>
          <w:bCs/>
          <w:color w:val="002060"/>
        </w:rPr>
        <w:instrText xml:space="preserve"> SEQ Gráfico \* ARABIC </w:instrText>
      </w:r>
      <w:r w:rsidRPr="00FA7341">
        <w:rPr>
          <w:rFonts w:ascii="Century Gothic" w:hAnsi="Century Gothic" w:cs="Arial"/>
          <w:b/>
          <w:bCs/>
          <w:color w:val="002060"/>
        </w:rPr>
        <w:fldChar w:fldCharType="separate"/>
      </w:r>
      <w:r w:rsidR="00030ED5" w:rsidRPr="00FA7341">
        <w:rPr>
          <w:rFonts w:ascii="Century Gothic" w:hAnsi="Century Gothic" w:cs="Arial"/>
          <w:b/>
          <w:bCs/>
          <w:noProof/>
          <w:color w:val="002060"/>
        </w:rPr>
        <w:t>6</w:t>
      </w:r>
      <w:r w:rsidRPr="00FA7341">
        <w:rPr>
          <w:rFonts w:ascii="Century Gothic" w:hAnsi="Century Gothic" w:cs="Arial"/>
          <w:b/>
          <w:bCs/>
          <w:color w:val="002060"/>
        </w:rPr>
        <w:fldChar w:fldCharType="end"/>
      </w:r>
      <w:r w:rsidRPr="00FA7341">
        <w:rPr>
          <w:rFonts w:ascii="Century Gothic" w:hAnsi="Century Gothic" w:cs="Arial"/>
          <w:b/>
          <w:bCs/>
          <w:color w:val="002060"/>
        </w:rPr>
        <w:t xml:space="preserve"> Cantidad de contratos – Anual</w:t>
      </w:r>
      <w:bookmarkEnd w:id="40"/>
    </w:p>
    <w:p w14:paraId="69AB4E0D" w14:textId="25A24556" w:rsidR="00F940DC" w:rsidRPr="00FA7341" w:rsidRDefault="00093BA1" w:rsidP="007369E7">
      <w:pPr>
        <w:pStyle w:val="Descripcin"/>
        <w:spacing w:after="0"/>
        <w:jc w:val="center"/>
        <w:rPr>
          <w:rFonts w:ascii="Century Gothic" w:hAnsi="Century Gothic" w:cs="Arial"/>
          <w:color w:val="002060"/>
          <w:sz w:val="22"/>
          <w:szCs w:val="22"/>
        </w:rPr>
      </w:pPr>
      <w:r w:rsidRPr="00093BA1">
        <w:rPr>
          <w:rFonts w:ascii="Century Gothic" w:hAnsi="Century Gothic" w:cs="Arial"/>
          <w:noProof/>
          <w:color w:val="002060"/>
          <w:sz w:val="22"/>
          <w:szCs w:val="22"/>
        </w:rPr>
        <w:lastRenderedPageBreak/>
        <w:drawing>
          <wp:inline distT="0" distB="0" distL="0" distR="0" wp14:anchorId="5D4AC936" wp14:editId="7A7FF977">
            <wp:extent cx="2715004" cy="2534004"/>
            <wp:effectExtent l="0" t="0" r="9525" b="0"/>
            <wp:docPr id="1537954149"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954149" name="Imagen 1" descr="Gráfico, Gráfico de barras&#10;&#10;El contenido generado por IA puede ser incorrecto."/>
                    <pic:cNvPicPr/>
                  </pic:nvPicPr>
                  <pic:blipFill>
                    <a:blip r:embed="rId25"/>
                    <a:stretch>
                      <a:fillRect/>
                    </a:stretch>
                  </pic:blipFill>
                  <pic:spPr>
                    <a:xfrm>
                      <a:off x="0" y="0"/>
                      <a:ext cx="2715004" cy="2534004"/>
                    </a:xfrm>
                    <a:prstGeom prst="rect">
                      <a:avLst/>
                    </a:prstGeom>
                  </pic:spPr>
                </pic:pic>
              </a:graphicData>
            </a:graphic>
          </wp:inline>
        </w:drawing>
      </w:r>
    </w:p>
    <w:p w14:paraId="5A2C69B4" w14:textId="1AB39511" w:rsidR="000A6771" w:rsidRPr="00FA7341" w:rsidRDefault="000A6771" w:rsidP="00F940DC">
      <w:pPr>
        <w:spacing w:after="0" w:line="240" w:lineRule="auto"/>
        <w:jc w:val="center"/>
        <w:rPr>
          <w:rFonts w:ascii="Century Gothic" w:hAnsi="Century Gothic" w:cs="Arial"/>
          <w:color w:val="000000"/>
        </w:rPr>
      </w:pPr>
      <w:r w:rsidRPr="00FA7341">
        <w:rPr>
          <w:rFonts w:ascii="Century Gothic" w:hAnsi="Century Gothic" w:cs="Arial"/>
          <w:color w:val="000000"/>
        </w:rPr>
        <w:t>Fuente: Colombia Compra Eficiente – Análisis de la Oferta</w:t>
      </w:r>
    </w:p>
    <w:p w14:paraId="53649183" w14:textId="77777777" w:rsidR="00B14594" w:rsidRPr="00FA7341" w:rsidRDefault="00B14594" w:rsidP="007369E7">
      <w:pPr>
        <w:spacing w:after="0" w:line="240" w:lineRule="auto"/>
        <w:rPr>
          <w:rFonts w:ascii="Century Gothic" w:hAnsi="Century Gothic" w:cs="Arial"/>
          <w:color w:val="000000"/>
        </w:rPr>
      </w:pPr>
    </w:p>
    <w:p w14:paraId="542F39F6" w14:textId="1BDC69ED" w:rsidR="005D79F7" w:rsidRPr="00FA7341" w:rsidRDefault="000A6771" w:rsidP="007369E7">
      <w:pPr>
        <w:spacing w:after="0" w:line="240" w:lineRule="auto"/>
        <w:jc w:val="both"/>
        <w:rPr>
          <w:rFonts w:ascii="Century Gothic" w:hAnsi="Century Gothic" w:cs="Arial"/>
          <w:color w:val="000000"/>
        </w:rPr>
      </w:pPr>
      <w:r w:rsidRPr="00FA7341">
        <w:rPr>
          <w:rFonts w:ascii="Century Gothic" w:hAnsi="Century Gothic" w:cs="Arial"/>
          <w:color w:val="000000"/>
        </w:rPr>
        <w:t>Como se puede evidenciar, el año en el que las Entidades suscribieron más</w:t>
      </w:r>
      <w:r w:rsidR="00ED0253" w:rsidRPr="00FA7341">
        <w:rPr>
          <w:rFonts w:ascii="Century Gothic" w:hAnsi="Century Gothic" w:cs="Arial"/>
          <w:color w:val="000000"/>
        </w:rPr>
        <w:t xml:space="preserve"> </w:t>
      </w:r>
      <w:r w:rsidRPr="00FA7341">
        <w:rPr>
          <w:rFonts w:ascii="Century Gothic" w:hAnsi="Century Gothic" w:cs="Arial"/>
          <w:color w:val="000000"/>
        </w:rPr>
        <w:t>contratos corresponde al</w:t>
      </w:r>
      <w:r w:rsidR="002C6D45" w:rsidRPr="00FA7341">
        <w:rPr>
          <w:rFonts w:ascii="Century Gothic" w:hAnsi="Century Gothic" w:cs="Arial"/>
          <w:color w:val="000000"/>
        </w:rPr>
        <w:t xml:space="preserve"> </w:t>
      </w:r>
      <w:r w:rsidR="00EF5A0D" w:rsidRPr="00FA7341">
        <w:rPr>
          <w:rFonts w:ascii="Century Gothic" w:hAnsi="Century Gothic" w:cs="Arial"/>
          <w:color w:val="000000" w:themeColor="text1"/>
        </w:rPr>
        <w:t>20</w:t>
      </w:r>
      <w:r w:rsidR="00093BA1">
        <w:rPr>
          <w:rFonts w:ascii="Century Gothic" w:hAnsi="Century Gothic" w:cs="Arial"/>
          <w:color w:val="000000" w:themeColor="text1"/>
        </w:rPr>
        <w:t>25</w:t>
      </w:r>
      <w:r w:rsidR="00EF5A0D" w:rsidRPr="00FA7341">
        <w:rPr>
          <w:rFonts w:ascii="Century Gothic" w:hAnsi="Century Gothic" w:cs="Arial"/>
          <w:color w:val="000000" w:themeColor="text1"/>
        </w:rPr>
        <w:t>,</w:t>
      </w:r>
      <w:r w:rsidRPr="00FA7341">
        <w:rPr>
          <w:rFonts w:ascii="Century Gothic" w:hAnsi="Century Gothic" w:cs="Arial"/>
          <w:color w:val="000000"/>
        </w:rPr>
        <w:t xml:space="preserve"> haciendo uso de la plataforma transaccional del SECOP I</w:t>
      </w:r>
      <w:r w:rsidR="00EB5327" w:rsidRPr="00FA7341">
        <w:rPr>
          <w:rFonts w:ascii="Century Gothic" w:hAnsi="Century Gothic" w:cs="Arial"/>
          <w:color w:val="000000"/>
        </w:rPr>
        <w:t>I</w:t>
      </w:r>
      <w:r w:rsidRPr="00FA7341">
        <w:rPr>
          <w:rFonts w:ascii="Century Gothic" w:hAnsi="Century Gothic" w:cs="Arial"/>
          <w:color w:val="000000"/>
        </w:rPr>
        <w:t>.</w:t>
      </w:r>
    </w:p>
    <w:p w14:paraId="32CF775F" w14:textId="77777777" w:rsidR="00EB5327" w:rsidRPr="00FA7341" w:rsidRDefault="00EB5327" w:rsidP="007369E7">
      <w:pPr>
        <w:spacing w:after="0" w:line="240" w:lineRule="auto"/>
        <w:rPr>
          <w:rFonts w:ascii="Century Gothic" w:hAnsi="Century Gothic" w:cs="Arial"/>
          <w:color w:val="000000"/>
        </w:rPr>
      </w:pPr>
    </w:p>
    <w:p w14:paraId="5C234BA8" w14:textId="77777777" w:rsidR="00EB5327" w:rsidRPr="00FA7341" w:rsidRDefault="00EB5327" w:rsidP="009B016D">
      <w:pPr>
        <w:pStyle w:val="Ttulo3"/>
        <w:numPr>
          <w:ilvl w:val="1"/>
          <w:numId w:val="12"/>
        </w:numPr>
        <w:pBdr>
          <w:top w:val="single" w:sz="4" w:space="1" w:color="auto"/>
          <w:left w:val="single" w:sz="4" w:space="4" w:color="auto"/>
          <w:bottom w:val="single" w:sz="4" w:space="1" w:color="auto"/>
          <w:right w:val="single" w:sz="4" w:space="4" w:color="auto"/>
        </w:pBdr>
        <w:shd w:val="clear" w:color="auto" w:fill="002060"/>
        <w:spacing w:before="0"/>
        <w:ind w:left="720" w:hanging="720"/>
        <w:contextualSpacing/>
        <w:rPr>
          <w:rFonts w:ascii="Century Gothic" w:hAnsi="Century Gothic" w:cs="Arial"/>
          <w:noProof/>
          <w:color w:val="FFFFFF"/>
          <w:lang w:val="es-ES" w:eastAsia="es-ES"/>
        </w:rPr>
      </w:pPr>
      <w:bookmarkStart w:id="41" w:name="_Toc232673901"/>
      <w:r w:rsidRPr="00FA7341">
        <w:rPr>
          <w:rFonts w:ascii="Century Gothic" w:hAnsi="Century Gothic" w:cs="Arial"/>
          <w:noProof/>
          <w:color w:val="FFFFFF"/>
          <w:lang w:val="es-ES" w:eastAsia="es-ES"/>
        </w:rPr>
        <w:t>Análisis de la demanda</w:t>
      </w:r>
      <w:bookmarkEnd w:id="41"/>
      <w:r w:rsidRPr="00FA7341">
        <w:rPr>
          <w:rFonts w:ascii="Century Gothic" w:hAnsi="Century Gothic" w:cs="Arial"/>
          <w:noProof/>
          <w:color w:val="FFFFFF"/>
          <w:lang w:val="es-ES" w:eastAsia="es-ES"/>
        </w:rPr>
        <w:t xml:space="preserve"> </w:t>
      </w:r>
    </w:p>
    <w:p w14:paraId="511A4532" w14:textId="77777777" w:rsidR="00EB5327" w:rsidRPr="00FA7341" w:rsidRDefault="00EB5327" w:rsidP="007369E7">
      <w:pPr>
        <w:spacing w:after="0" w:line="240" w:lineRule="auto"/>
        <w:rPr>
          <w:rFonts w:ascii="Century Gothic" w:hAnsi="Century Gothic" w:cs="Arial"/>
          <w:color w:val="000000"/>
        </w:rPr>
      </w:pPr>
    </w:p>
    <w:p w14:paraId="5AF4357C" w14:textId="1195E44E" w:rsidR="009F38DB" w:rsidRPr="00FA7341" w:rsidRDefault="00EB5327" w:rsidP="009F38DB">
      <w:pPr>
        <w:spacing w:after="0" w:line="240" w:lineRule="auto"/>
        <w:jc w:val="both"/>
        <w:rPr>
          <w:rFonts w:ascii="Century Gothic" w:eastAsia="Times New Roman" w:hAnsi="Century Gothic" w:cs="Arial"/>
          <w:lang w:eastAsia="ar-SA"/>
        </w:rPr>
      </w:pPr>
      <w:r w:rsidRPr="00FA7341">
        <w:rPr>
          <w:rFonts w:ascii="Century Gothic" w:eastAsia="Times New Roman" w:hAnsi="Century Gothic" w:cs="Arial"/>
          <w:bCs/>
          <w:color w:val="000000"/>
          <w:lang w:eastAsia="es-CO"/>
        </w:rPr>
        <w:t>De acuerdo con el Modelo de Abastecimiento Estratégico - DEMANDA, de la Agencia de Contratación Pública (periodo enero 20</w:t>
      </w:r>
      <w:r w:rsidR="00093BA1">
        <w:rPr>
          <w:rFonts w:ascii="Century Gothic" w:eastAsia="Times New Roman" w:hAnsi="Century Gothic" w:cs="Arial"/>
          <w:bCs/>
          <w:color w:val="000000"/>
          <w:lang w:eastAsia="es-CO"/>
        </w:rPr>
        <w:t>23</w:t>
      </w:r>
      <w:r w:rsidRPr="00FA7341">
        <w:rPr>
          <w:rFonts w:ascii="Century Gothic" w:eastAsia="Times New Roman" w:hAnsi="Century Gothic" w:cs="Arial"/>
          <w:bCs/>
          <w:color w:val="000000"/>
          <w:lang w:eastAsia="es-CO"/>
        </w:rPr>
        <w:t xml:space="preserve"> a </w:t>
      </w:r>
      <w:r w:rsidR="00093BA1">
        <w:rPr>
          <w:rFonts w:ascii="Century Gothic" w:eastAsia="Times New Roman" w:hAnsi="Century Gothic" w:cs="Arial"/>
          <w:bCs/>
          <w:color w:val="000000"/>
          <w:lang w:eastAsia="es-CO"/>
        </w:rPr>
        <w:t>mayo</w:t>
      </w:r>
      <w:r w:rsidRPr="00FA7341">
        <w:rPr>
          <w:rFonts w:ascii="Century Gothic" w:eastAsia="Times New Roman" w:hAnsi="Century Gothic" w:cs="Arial"/>
          <w:bCs/>
          <w:color w:val="000000"/>
          <w:lang w:eastAsia="es-CO"/>
        </w:rPr>
        <w:t xml:space="preserve"> 202</w:t>
      </w:r>
      <w:r w:rsidR="00093BA1">
        <w:rPr>
          <w:rFonts w:ascii="Century Gothic" w:eastAsia="Times New Roman" w:hAnsi="Century Gothic" w:cs="Arial"/>
          <w:bCs/>
          <w:color w:val="000000"/>
          <w:lang w:eastAsia="es-CO"/>
        </w:rPr>
        <w:t>6</w:t>
      </w:r>
      <w:r w:rsidRPr="00FA7341">
        <w:rPr>
          <w:rFonts w:ascii="Century Gothic" w:eastAsia="Times New Roman" w:hAnsi="Century Gothic" w:cs="Arial"/>
          <w:bCs/>
          <w:color w:val="000000"/>
          <w:lang w:eastAsia="es-CO"/>
        </w:rPr>
        <w:t>), a continuación, se muestran, las cifras generales acordes con el objeto contractual</w:t>
      </w:r>
      <w:r w:rsidR="009F38DB" w:rsidRPr="00FA7341">
        <w:rPr>
          <w:rFonts w:ascii="Century Gothic" w:eastAsia="Times New Roman" w:hAnsi="Century Gothic" w:cs="Arial"/>
          <w:bCs/>
          <w:color w:val="000000"/>
          <w:lang w:eastAsia="es-CO"/>
        </w:rPr>
        <w:t xml:space="preserve"> </w:t>
      </w:r>
      <w:r w:rsidR="009F38DB" w:rsidRPr="00FA7341">
        <w:rPr>
          <w:rFonts w:ascii="Century Gothic" w:hAnsi="Century Gothic" w:cs="Arial"/>
        </w:rPr>
        <w:t>“</w:t>
      </w:r>
      <w:r w:rsidR="00FA7341" w:rsidRPr="00FA7341">
        <w:rPr>
          <w:rFonts w:ascii="Century Gothic" w:eastAsia="Arial" w:hAnsi="Century Gothic" w:cs="Arial"/>
          <w:color w:val="000000"/>
        </w:rPr>
        <w:t>ADQUISICIÓN DE BONOS O TARJETAS CANJEABLES EXCLUSIVAMENTE PARA COMPRA DE VESTUARIO Y CALZADO DE LABOR, PARA LOS SERVIDORES PÚBLICOS DE LA GOBERNACIÓN DE CUNDINAMARCA, QUE TENGAN DERECHO A LA DOTACIÓN</w:t>
      </w:r>
      <w:r w:rsidR="009F38DB" w:rsidRPr="00FA7341">
        <w:rPr>
          <w:rFonts w:ascii="Century Gothic" w:eastAsia="Arial" w:hAnsi="Century Gothic" w:cs="Arial"/>
          <w:color w:val="000000" w:themeColor="text1"/>
        </w:rPr>
        <w:t>”</w:t>
      </w:r>
      <w:r w:rsidR="009F38DB" w:rsidRPr="00FA7341">
        <w:rPr>
          <w:rFonts w:ascii="Century Gothic" w:hAnsi="Century Gothic" w:cs="Arial"/>
          <w:color w:val="000000" w:themeColor="text1"/>
        </w:rPr>
        <w:t>, C</w:t>
      </w:r>
      <w:r w:rsidR="009F38DB" w:rsidRPr="00FA7341">
        <w:rPr>
          <w:rFonts w:ascii="Century Gothic" w:hAnsi="Century Gothic" w:cs="Arial"/>
        </w:rPr>
        <w:t xml:space="preserve">ódigo </w:t>
      </w:r>
      <w:r w:rsidR="004B0329" w:rsidRPr="00FA7341">
        <w:rPr>
          <w:rFonts w:ascii="Century Gothic" w:hAnsi="Century Gothic" w:cs="Arial"/>
        </w:rPr>
        <w:t>46181531</w:t>
      </w:r>
      <w:r w:rsidR="009F38DB" w:rsidRPr="00FA7341">
        <w:rPr>
          <w:rFonts w:ascii="Century Gothic" w:hAnsi="Century Gothic" w:cs="Arial"/>
        </w:rPr>
        <w:t xml:space="preserve">, </w:t>
      </w:r>
      <w:r w:rsidR="004B0329" w:rsidRPr="00FA7341">
        <w:rPr>
          <w:rFonts w:ascii="Century Gothic" w:hAnsi="Century Gothic" w:cs="Arial"/>
        </w:rPr>
        <w:t>53101600</w:t>
      </w:r>
      <w:r w:rsidR="009F38DB" w:rsidRPr="00FA7341">
        <w:rPr>
          <w:rFonts w:ascii="Century Gothic" w:hAnsi="Century Gothic" w:cs="Arial"/>
        </w:rPr>
        <w:t xml:space="preserve">, </w:t>
      </w:r>
      <w:r w:rsidR="004B0329" w:rsidRPr="00FA7341">
        <w:rPr>
          <w:rFonts w:ascii="Century Gothic" w:hAnsi="Century Gothic" w:cs="Arial"/>
        </w:rPr>
        <w:t>46181604, 46171625</w:t>
      </w:r>
      <w:r w:rsidR="00FA7341">
        <w:rPr>
          <w:rFonts w:ascii="Century Gothic" w:hAnsi="Century Gothic" w:cs="Arial"/>
        </w:rPr>
        <w:t>.</w:t>
      </w:r>
    </w:p>
    <w:p w14:paraId="5903F1F4" w14:textId="77777777" w:rsidR="00ED0253" w:rsidRPr="00FA7341" w:rsidRDefault="00ED0253" w:rsidP="007369E7">
      <w:pPr>
        <w:spacing w:after="0" w:line="240" w:lineRule="auto"/>
        <w:jc w:val="both"/>
        <w:rPr>
          <w:rFonts w:ascii="Century Gothic" w:eastAsia="Times New Roman" w:hAnsi="Century Gothic" w:cs="Arial"/>
          <w:lang w:val="es-ES" w:eastAsia="ar-SA"/>
        </w:rPr>
      </w:pPr>
    </w:p>
    <w:p w14:paraId="2970F1C0" w14:textId="76B0DA18" w:rsidR="00DB744F" w:rsidRPr="00FA7341" w:rsidRDefault="00DB744F" w:rsidP="00DB744F">
      <w:pPr>
        <w:pStyle w:val="Descripcin"/>
        <w:spacing w:after="0"/>
        <w:jc w:val="center"/>
        <w:rPr>
          <w:rFonts w:ascii="Century Gothic" w:hAnsi="Century Gothic" w:cs="Arial"/>
          <w:color w:val="002060"/>
          <w:sz w:val="22"/>
          <w:szCs w:val="22"/>
        </w:rPr>
      </w:pPr>
      <w:bookmarkStart w:id="42" w:name="_Toc226395612"/>
      <w:bookmarkStart w:id="43" w:name="_Toc179188740"/>
      <w:bookmarkStart w:id="44" w:name="_Ref179356468"/>
      <w:r w:rsidRPr="00FA7341">
        <w:rPr>
          <w:rFonts w:ascii="Century Gothic" w:hAnsi="Century Gothic" w:cs="Arial"/>
          <w:color w:val="002060"/>
          <w:sz w:val="22"/>
          <w:szCs w:val="22"/>
        </w:rPr>
        <w:t xml:space="preserve">Gráfico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Gráfico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7</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Gasto anual – mensual</w:t>
      </w:r>
      <w:bookmarkEnd w:id="42"/>
    </w:p>
    <w:p w14:paraId="6CF71A01" w14:textId="77777777" w:rsidR="00DB744F" w:rsidRPr="00FA7341" w:rsidRDefault="00DB744F" w:rsidP="00DB744F">
      <w:pPr>
        <w:spacing w:after="0"/>
        <w:rPr>
          <w:rFonts w:ascii="Century Gothic" w:hAnsi="Century Gothic" w:cs="Arial"/>
        </w:rPr>
      </w:pPr>
    </w:p>
    <w:bookmarkEnd w:id="43"/>
    <w:bookmarkEnd w:id="44"/>
    <w:p w14:paraId="5F64FF21" w14:textId="0917A555" w:rsidR="00EB5327" w:rsidRPr="00FA7341" w:rsidRDefault="00093BA1" w:rsidP="00DB744F">
      <w:pPr>
        <w:pStyle w:val="Descripcin"/>
        <w:spacing w:after="0"/>
        <w:jc w:val="center"/>
        <w:rPr>
          <w:rFonts w:ascii="Century Gothic" w:hAnsi="Century Gothic" w:cs="Arial"/>
          <w:sz w:val="22"/>
          <w:szCs w:val="22"/>
        </w:rPr>
      </w:pPr>
      <w:r w:rsidRPr="00093BA1">
        <w:rPr>
          <w:rFonts w:ascii="Century Gothic" w:hAnsi="Century Gothic" w:cs="Arial"/>
          <w:noProof/>
          <w:sz w:val="22"/>
          <w:szCs w:val="22"/>
        </w:rPr>
        <w:lastRenderedPageBreak/>
        <w:drawing>
          <wp:inline distT="0" distB="0" distL="0" distR="0" wp14:anchorId="6B2E6240" wp14:editId="40427AED">
            <wp:extent cx="5612130" cy="2176145"/>
            <wp:effectExtent l="0" t="0" r="7620" b="0"/>
            <wp:docPr id="1170469714" name="Imagen 1" descr="Interfaz de usuario gráfica, Gráfico, Gráfico de líne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69714" name="Imagen 1" descr="Interfaz de usuario gráfica, Gráfico, Gráfico de líneas&#10;&#10;El contenido generado por IA puede ser incorrecto."/>
                    <pic:cNvPicPr/>
                  </pic:nvPicPr>
                  <pic:blipFill>
                    <a:blip r:embed="rId26"/>
                    <a:stretch>
                      <a:fillRect/>
                    </a:stretch>
                  </pic:blipFill>
                  <pic:spPr>
                    <a:xfrm>
                      <a:off x="0" y="0"/>
                      <a:ext cx="5612130" cy="2176145"/>
                    </a:xfrm>
                    <a:prstGeom prst="rect">
                      <a:avLst/>
                    </a:prstGeom>
                  </pic:spPr>
                </pic:pic>
              </a:graphicData>
            </a:graphic>
          </wp:inline>
        </w:drawing>
      </w:r>
    </w:p>
    <w:p w14:paraId="15567F40" w14:textId="77777777" w:rsidR="00EB5327" w:rsidRPr="00FA7341" w:rsidRDefault="00EB5327" w:rsidP="007369E7">
      <w:pPr>
        <w:spacing w:after="0"/>
        <w:jc w:val="center"/>
        <w:rPr>
          <w:rFonts w:ascii="Century Gothic" w:hAnsi="Century Gothic" w:cs="Arial"/>
          <w:color w:val="000000"/>
        </w:rPr>
      </w:pPr>
      <w:r w:rsidRPr="00FA7341">
        <w:rPr>
          <w:rFonts w:ascii="Century Gothic" w:hAnsi="Century Gothic" w:cs="Arial"/>
          <w:color w:val="000000"/>
        </w:rPr>
        <w:t>Fuente: Colombia Compra Eficiente – Análisis de la Oferta –</w:t>
      </w:r>
    </w:p>
    <w:p w14:paraId="644116E1" w14:textId="77777777" w:rsidR="0045458E" w:rsidRPr="00FA7341" w:rsidRDefault="0045458E" w:rsidP="007369E7">
      <w:pPr>
        <w:spacing w:after="0"/>
        <w:jc w:val="both"/>
        <w:rPr>
          <w:rFonts w:ascii="Century Gothic" w:hAnsi="Century Gothic" w:cs="Arial"/>
          <w:b/>
          <w:bCs/>
          <w:i/>
          <w:iCs/>
          <w:color w:val="FF0000"/>
          <w:u w:val="single"/>
        </w:rPr>
      </w:pPr>
    </w:p>
    <w:p w14:paraId="1FF85E9B" w14:textId="77777777" w:rsidR="00030ED5" w:rsidRPr="00FA7341" w:rsidRDefault="00EB5327" w:rsidP="00030ED5">
      <w:pPr>
        <w:jc w:val="both"/>
        <w:rPr>
          <w:rFonts w:ascii="Century Gothic" w:hAnsi="Century Gothic" w:cs="Arial"/>
          <w:color w:val="002060"/>
        </w:rPr>
      </w:pPr>
      <w:r w:rsidRPr="00FA7341">
        <w:rPr>
          <w:rFonts w:ascii="Century Gothic" w:hAnsi="Century Gothic" w:cs="Arial"/>
          <w:color w:val="000000" w:themeColor="text1"/>
        </w:rPr>
        <w:t>De conformidad con el</w:t>
      </w:r>
      <w:r w:rsidR="00C67A3C" w:rsidRPr="00FA7341">
        <w:rPr>
          <w:rFonts w:ascii="Century Gothic" w:hAnsi="Century Gothic" w:cs="Arial"/>
          <w:color w:val="000000" w:themeColor="text1"/>
        </w:rPr>
        <w:t xml:space="preserve"> </w:t>
      </w:r>
      <w:r w:rsidR="00C67A3C" w:rsidRPr="00FA7341">
        <w:rPr>
          <w:rFonts w:ascii="Century Gothic" w:hAnsi="Century Gothic" w:cs="Arial"/>
          <w:color w:val="000000" w:themeColor="text1"/>
        </w:rPr>
        <w:fldChar w:fldCharType="begin"/>
      </w:r>
      <w:r w:rsidR="00C67A3C" w:rsidRPr="00FA7341">
        <w:rPr>
          <w:rFonts w:ascii="Century Gothic" w:hAnsi="Century Gothic" w:cs="Arial"/>
          <w:color w:val="000000" w:themeColor="text1"/>
        </w:rPr>
        <w:instrText xml:space="preserve"> REF _Ref179356468 \h </w:instrText>
      </w:r>
      <w:r w:rsidR="002C5EF4" w:rsidRPr="00FA7341">
        <w:rPr>
          <w:rFonts w:ascii="Century Gothic" w:hAnsi="Century Gothic" w:cs="Arial"/>
          <w:color w:val="000000" w:themeColor="text1"/>
        </w:rPr>
        <w:instrText xml:space="preserve"> \* MERGEFORMAT </w:instrText>
      </w:r>
      <w:r w:rsidR="00C67A3C" w:rsidRPr="00FA7341">
        <w:rPr>
          <w:rFonts w:ascii="Century Gothic" w:hAnsi="Century Gothic" w:cs="Arial"/>
          <w:color w:val="000000" w:themeColor="text1"/>
        </w:rPr>
      </w:r>
      <w:r w:rsidR="00C67A3C" w:rsidRPr="00FA7341">
        <w:rPr>
          <w:rFonts w:ascii="Century Gothic" w:hAnsi="Century Gothic" w:cs="Arial"/>
          <w:color w:val="000000" w:themeColor="text1"/>
        </w:rPr>
        <w:fldChar w:fldCharType="separate"/>
      </w:r>
      <w:r w:rsidR="00030ED5" w:rsidRPr="00FA7341">
        <w:rPr>
          <w:rFonts w:ascii="Century Gothic" w:hAnsi="Century Gothic" w:cs="Arial"/>
          <w:color w:val="000000" w:themeColor="text1"/>
        </w:rPr>
        <w:t xml:space="preserve">Gráfico </w:t>
      </w:r>
      <w:r w:rsidR="00030ED5" w:rsidRPr="00FA7341">
        <w:rPr>
          <w:rFonts w:ascii="Century Gothic" w:hAnsi="Century Gothic" w:cs="Arial"/>
          <w:noProof/>
          <w:color w:val="000000" w:themeColor="text1"/>
        </w:rPr>
        <w:t>7</w:t>
      </w:r>
      <w:r w:rsidR="00030ED5" w:rsidRPr="00FA7341">
        <w:rPr>
          <w:rFonts w:ascii="Century Gothic" w:hAnsi="Century Gothic" w:cs="Arial"/>
          <w:color w:val="000000" w:themeColor="text1"/>
        </w:rPr>
        <w:t xml:space="preserve"> Gasto anual – mensual</w:t>
      </w:r>
    </w:p>
    <w:p w14:paraId="16521AFB" w14:textId="77777777" w:rsidR="00030ED5" w:rsidRPr="00FA7341" w:rsidRDefault="00030ED5" w:rsidP="00DB744F">
      <w:pPr>
        <w:spacing w:after="0"/>
        <w:rPr>
          <w:rFonts w:ascii="Century Gothic" w:hAnsi="Century Gothic" w:cs="Arial"/>
        </w:rPr>
      </w:pPr>
    </w:p>
    <w:p w14:paraId="433C95D1" w14:textId="179A17F8" w:rsidR="00093BA1" w:rsidRDefault="00C67A3C" w:rsidP="00093BA1">
      <w:pPr>
        <w:spacing w:after="0"/>
        <w:jc w:val="center"/>
        <w:rPr>
          <w:rFonts w:ascii="Century Gothic" w:hAnsi="Century Gothic" w:cs="Arial"/>
          <w:color w:val="000000" w:themeColor="text1"/>
        </w:rPr>
      </w:pPr>
      <w:r w:rsidRPr="00FA7341">
        <w:rPr>
          <w:rFonts w:ascii="Century Gothic" w:hAnsi="Century Gothic" w:cs="Arial"/>
          <w:color w:val="000000" w:themeColor="text1"/>
        </w:rPr>
        <w:fldChar w:fldCharType="end"/>
      </w:r>
      <w:r w:rsidR="00093BA1" w:rsidRPr="00093BA1">
        <w:rPr>
          <w:rFonts w:ascii="Century Gothic" w:hAnsi="Century Gothic" w:cs="Arial"/>
          <w:noProof/>
          <w:color w:val="000000" w:themeColor="text1"/>
        </w:rPr>
        <w:drawing>
          <wp:inline distT="0" distB="0" distL="0" distR="0" wp14:anchorId="0D964DED" wp14:editId="4F691A86">
            <wp:extent cx="5612130" cy="2176145"/>
            <wp:effectExtent l="0" t="0" r="7620" b="0"/>
            <wp:docPr id="578502022" name="Imagen 1" descr="Interfaz de usuario gráfica, Gráfico, Gráfico de líne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02022" name="Imagen 1" descr="Interfaz de usuario gráfica, Gráfico, Gráfico de líneas&#10;&#10;El contenido generado por IA puede ser incorrecto."/>
                    <pic:cNvPicPr/>
                  </pic:nvPicPr>
                  <pic:blipFill>
                    <a:blip r:embed="rId26"/>
                    <a:stretch>
                      <a:fillRect/>
                    </a:stretch>
                  </pic:blipFill>
                  <pic:spPr>
                    <a:xfrm>
                      <a:off x="0" y="0"/>
                      <a:ext cx="5612130" cy="2176145"/>
                    </a:xfrm>
                    <a:prstGeom prst="rect">
                      <a:avLst/>
                    </a:prstGeom>
                  </pic:spPr>
                </pic:pic>
              </a:graphicData>
            </a:graphic>
          </wp:inline>
        </w:drawing>
      </w:r>
      <w:r w:rsidR="00EB5327" w:rsidRPr="00FA7341">
        <w:rPr>
          <w:rFonts w:ascii="Century Gothic" w:hAnsi="Century Gothic" w:cs="Arial"/>
          <w:color w:val="000000" w:themeColor="text1"/>
        </w:rPr>
        <w:t xml:space="preserve"> </w:t>
      </w:r>
    </w:p>
    <w:p w14:paraId="3610450F" w14:textId="77777777" w:rsidR="00093BA1" w:rsidRDefault="00093BA1" w:rsidP="00093BA1">
      <w:pPr>
        <w:spacing w:after="0"/>
        <w:jc w:val="center"/>
        <w:rPr>
          <w:rFonts w:ascii="Century Gothic" w:hAnsi="Century Gothic" w:cs="Arial"/>
          <w:color w:val="000000" w:themeColor="text1"/>
        </w:rPr>
      </w:pPr>
    </w:p>
    <w:p w14:paraId="1EEA4A3F" w14:textId="38E84F72" w:rsidR="00EB5327" w:rsidRPr="00FA7341" w:rsidRDefault="00EB5327" w:rsidP="00093BA1">
      <w:pPr>
        <w:spacing w:after="0"/>
        <w:jc w:val="both"/>
        <w:rPr>
          <w:rFonts w:ascii="Century Gothic" w:hAnsi="Century Gothic" w:cs="Arial"/>
          <w:color w:val="000000" w:themeColor="text1"/>
        </w:rPr>
      </w:pPr>
      <w:r w:rsidRPr="00FA7341">
        <w:rPr>
          <w:rFonts w:ascii="Century Gothic" w:hAnsi="Century Gothic" w:cs="Arial"/>
          <w:color w:val="000000" w:themeColor="text1"/>
        </w:rPr>
        <w:t>se puede evidenciar que</w:t>
      </w:r>
      <w:r w:rsidR="00C67A3C" w:rsidRPr="00FA7341">
        <w:rPr>
          <w:rFonts w:ascii="Century Gothic" w:hAnsi="Century Gothic" w:cs="Arial"/>
          <w:color w:val="000000" w:themeColor="text1"/>
        </w:rPr>
        <w:t xml:space="preserve"> el gasto mensual asciende a los </w:t>
      </w:r>
      <w:r w:rsidR="003E3C5D" w:rsidRPr="00FA7341">
        <w:rPr>
          <w:rFonts w:ascii="Century Gothic" w:hAnsi="Century Gothic" w:cs="Arial"/>
          <w:color w:val="000000" w:themeColor="text1"/>
        </w:rPr>
        <w:t>$116.289.966.908</w:t>
      </w:r>
      <w:r w:rsidR="00E950D3" w:rsidRPr="00FA7341">
        <w:rPr>
          <w:rFonts w:ascii="Century Gothic" w:hAnsi="Century Gothic" w:cs="Arial"/>
          <w:color w:val="FF0000"/>
        </w:rPr>
        <w:t xml:space="preserve"> </w:t>
      </w:r>
      <w:r w:rsidR="00C67A3C" w:rsidRPr="00FA7341">
        <w:rPr>
          <w:rFonts w:ascii="Century Gothic" w:hAnsi="Century Gothic" w:cs="Arial"/>
          <w:color w:val="000000" w:themeColor="text1"/>
        </w:rPr>
        <w:t>millones de pesos</w:t>
      </w:r>
      <w:r w:rsidRPr="00FA7341">
        <w:rPr>
          <w:rFonts w:ascii="Century Gothic" w:hAnsi="Century Gothic" w:cs="Arial"/>
          <w:color w:val="000000" w:themeColor="text1"/>
        </w:rPr>
        <w:t>,</w:t>
      </w:r>
      <w:r w:rsidR="00C67A3C" w:rsidRPr="00FA7341">
        <w:rPr>
          <w:rFonts w:ascii="Century Gothic" w:hAnsi="Century Gothic" w:cs="Arial"/>
          <w:color w:val="000000" w:themeColor="text1"/>
        </w:rPr>
        <w:t xml:space="preserve"> y en lo corrido de 202</w:t>
      </w:r>
      <w:r w:rsidR="003E3C5D" w:rsidRPr="00FA7341">
        <w:rPr>
          <w:rFonts w:ascii="Century Gothic" w:hAnsi="Century Gothic" w:cs="Arial"/>
          <w:color w:val="000000" w:themeColor="text1"/>
        </w:rPr>
        <w:t>5</w:t>
      </w:r>
      <w:r w:rsidR="00C67A3C" w:rsidRPr="00FA7341">
        <w:rPr>
          <w:rFonts w:ascii="Century Gothic" w:hAnsi="Century Gothic" w:cs="Arial"/>
          <w:color w:val="000000" w:themeColor="text1"/>
        </w:rPr>
        <w:t xml:space="preserve">, el gasto anual supera los </w:t>
      </w:r>
      <w:r w:rsidR="00026F35" w:rsidRPr="00FA7341">
        <w:rPr>
          <w:rFonts w:ascii="Century Gothic" w:hAnsi="Century Gothic" w:cs="Arial"/>
          <w:color w:val="000000" w:themeColor="text1"/>
        </w:rPr>
        <w:t>$</w:t>
      </w:r>
      <w:r w:rsidR="00AF2B6B" w:rsidRPr="00FA7341">
        <w:rPr>
          <w:rFonts w:ascii="Century Gothic" w:hAnsi="Century Gothic" w:cs="Arial"/>
          <w:color w:val="000000" w:themeColor="text1"/>
        </w:rPr>
        <w:t>85.</w:t>
      </w:r>
      <w:r w:rsidR="0063175E" w:rsidRPr="00FA7341">
        <w:rPr>
          <w:rFonts w:ascii="Century Gothic" w:hAnsi="Century Gothic" w:cs="Arial"/>
          <w:color w:val="000000" w:themeColor="text1"/>
        </w:rPr>
        <w:t>772.399.730</w:t>
      </w:r>
      <w:r w:rsidR="00C67A3C" w:rsidRPr="00FA7341">
        <w:rPr>
          <w:rFonts w:ascii="Century Gothic" w:hAnsi="Century Gothic" w:cs="Arial"/>
          <w:color w:val="000000" w:themeColor="text1"/>
        </w:rPr>
        <w:t xml:space="preserve"> millones de pesos, siendo el S</w:t>
      </w:r>
      <w:r w:rsidR="002A498F" w:rsidRPr="00FA7341">
        <w:rPr>
          <w:rFonts w:ascii="Century Gothic" w:hAnsi="Century Gothic" w:cs="Arial"/>
          <w:color w:val="000000" w:themeColor="text1"/>
        </w:rPr>
        <w:t>ECOP</w:t>
      </w:r>
      <w:r w:rsidR="00C67A3C" w:rsidRPr="00FA7341">
        <w:rPr>
          <w:rFonts w:ascii="Century Gothic" w:hAnsi="Century Gothic" w:cs="Arial"/>
          <w:color w:val="000000" w:themeColor="text1"/>
        </w:rPr>
        <w:t xml:space="preserve"> II la plataforma más usada para estos procesos</w:t>
      </w:r>
      <w:r w:rsidRPr="00FA7341">
        <w:rPr>
          <w:rFonts w:ascii="Century Gothic" w:hAnsi="Century Gothic" w:cs="Arial"/>
          <w:color w:val="000000" w:themeColor="text1"/>
        </w:rPr>
        <w:t>.</w:t>
      </w:r>
    </w:p>
    <w:p w14:paraId="73417E31" w14:textId="77777777" w:rsidR="002A498F" w:rsidRPr="00FA7341" w:rsidRDefault="002A498F" w:rsidP="007369E7">
      <w:pPr>
        <w:spacing w:after="0"/>
        <w:jc w:val="both"/>
        <w:rPr>
          <w:rFonts w:ascii="Century Gothic" w:hAnsi="Century Gothic" w:cs="Arial"/>
          <w:color w:val="000000" w:themeColor="text1"/>
        </w:rPr>
      </w:pPr>
    </w:p>
    <w:p w14:paraId="1D2F05EA" w14:textId="1314DA4D" w:rsidR="00EB5327" w:rsidRPr="00FA7341" w:rsidRDefault="00EB5327" w:rsidP="007369E7">
      <w:pPr>
        <w:pStyle w:val="Descripcin"/>
        <w:spacing w:after="0"/>
        <w:jc w:val="center"/>
        <w:rPr>
          <w:rFonts w:ascii="Century Gothic" w:hAnsi="Century Gothic" w:cs="Arial"/>
          <w:color w:val="002060"/>
          <w:sz w:val="22"/>
          <w:szCs w:val="22"/>
        </w:rPr>
      </w:pPr>
      <w:bookmarkStart w:id="45" w:name="_Toc179188741"/>
      <w:bookmarkStart w:id="46" w:name="_Toc226395613"/>
      <w:r w:rsidRPr="00FA7341">
        <w:rPr>
          <w:rFonts w:ascii="Century Gothic" w:hAnsi="Century Gothic" w:cs="Arial"/>
          <w:color w:val="002060"/>
          <w:sz w:val="22"/>
          <w:szCs w:val="22"/>
        </w:rPr>
        <w:t xml:space="preserve">Gráfico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Gráfico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8</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Cantidad de contratos anual - Mensual</w:t>
      </w:r>
      <w:bookmarkEnd w:id="45"/>
      <w:bookmarkEnd w:id="46"/>
    </w:p>
    <w:p w14:paraId="5279F1F8" w14:textId="4CB9B22D" w:rsidR="00EB5327" w:rsidRPr="00FA7341" w:rsidRDefault="00274EA6" w:rsidP="007369E7">
      <w:pPr>
        <w:spacing w:after="0" w:line="240" w:lineRule="auto"/>
        <w:jc w:val="both"/>
        <w:rPr>
          <w:rFonts w:ascii="Century Gothic" w:hAnsi="Century Gothic" w:cs="Arial"/>
          <w:b/>
          <w:bCs/>
        </w:rPr>
      </w:pPr>
      <w:r w:rsidRPr="00274EA6">
        <w:rPr>
          <w:rFonts w:ascii="Century Gothic" w:hAnsi="Century Gothic" w:cs="Arial"/>
          <w:b/>
          <w:bCs/>
          <w:noProof/>
        </w:rPr>
        <w:lastRenderedPageBreak/>
        <w:drawing>
          <wp:inline distT="0" distB="0" distL="0" distR="0" wp14:anchorId="0AF54D6E" wp14:editId="25D9F92C">
            <wp:extent cx="5612130" cy="2116455"/>
            <wp:effectExtent l="0" t="0" r="7620" b="0"/>
            <wp:docPr id="395439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3973" name=""/>
                    <pic:cNvPicPr/>
                  </pic:nvPicPr>
                  <pic:blipFill>
                    <a:blip r:embed="rId27"/>
                    <a:stretch>
                      <a:fillRect/>
                    </a:stretch>
                  </pic:blipFill>
                  <pic:spPr>
                    <a:xfrm>
                      <a:off x="0" y="0"/>
                      <a:ext cx="5612130" cy="2116455"/>
                    </a:xfrm>
                    <a:prstGeom prst="rect">
                      <a:avLst/>
                    </a:prstGeom>
                  </pic:spPr>
                </pic:pic>
              </a:graphicData>
            </a:graphic>
          </wp:inline>
        </w:drawing>
      </w:r>
    </w:p>
    <w:p w14:paraId="2B448EC3" w14:textId="09D31B38" w:rsidR="00EB5327" w:rsidRPr="00FA7341" w:rsidRDefault="00EB5327" w:rsidP="007369E7">
      <w:pPr>
        <w:spacing w:after="0"/>
        <w:jc w:val="center"/>
        <w:rPr>
          <w:rFonts w:ascii="Century Gothic" w:hAnsi="Century Gothic" w:cs="Arial"/>
        </w:rPr>
      </w:pPr>
      <w:r w:rsidRPr="00FA7341">
        <w:rPr>
          <w:rFonts w:ascii="Century Gothic" w:hAnsi="Century Gothic" w:cs="Arial"/>
          <w:color w:val="000000"/>
        </w:rPr>
        <w:t xml:space="preserve">Fuente: Colombia Compra Eficiente – Análisis de la Oferta </w:t>
      </w:r>
    </w:p>
    <w:p w14:paraId="62A936E2" w14:textId="77777777" w:rsidR="00CB2871" w:rsidRPr="00FA7341" w:rsidRDefault="00CB2871" w:rsidP="007369E7">
      <w:pPr>
        <w:spacing w:after="0" w:line="240" w:lineRule="auto"/>
        <w:jc w:val="both"/>
        <w:rPr>
          <w:rFonts w:ascii="Century Gothic" w:hAnsi="Century Gothic" w:cs="Arial"/>
          <w:b/>
          <w:bCs/>
          <w:i/>
          <w:iCs/>
          <w:color w:val="FF0000"/>
          <w:u w:val="single"/>
        </w:rPr>
      </w:pPr>
    </w:p>
    <w:p w14:paraId="0916B265" w14:textId="644F2961" w:rsidR="00EB5327" w:rsidRPr="00FA7341" w:rsidRDefault="00C67A3C" w:rsidP="007369E7">
      <w:pPr>
        <w:spacing w:after="0" w:line="240" w:lineRule="auto"/>
        <w:jc w:val="both"/>
        <w:rPr>
          <w:rFonts w:ascii="Century Gothic" w:hAnsi="Century Gothic" w:cs="Arial"/>
          <w:b/>
          <w:bCs/>
        </w:rPr>
      </w:pPr>
      <w:r w:rsidRPr="00FA7341">
        <w:rPr>
          <w:rFonts w:ascii="Century Gothic" w:hAnsi="Century Gothic" w:cs="Arial"/>
        </w:rPr>
        <w:t xml:space="preserve">Se observa una tendencia decreciente en la cantidad de contratos a lo largo del periodo, pasando de </w:t>
      </w:r>
      <w:r w:rsidR="00274EA6">
        <w:rPr>
          <w:rFonts w:ascii="Century Gothic" w:hAnsi="Century Gothic" w:cs="Arial"/>
        </w:rPr>
        <w:t>6135</w:t>
      </w:r>
      <w:r w:rsidR="00B5741B" w:rsidRPr="00FA7341">
        <w:rPr>
          <w:rFonts w:ascii="Century Gothic" w:hAnsi="Century Gothic" w:cs="Arial"/>
        </w:rPr>
        <w:t xml:space="preserve"> </w:t>
      </w:r>
      <w:r w:rsidRPr="00FA7341">
        <w:rPr>
          <w:rFonts w:ascii="Century Gothic" w:hAnsi="Century Gothic" w:cs="Arial"/>
        </w:rPr>
        <w:t>contratos en 20</w:t>
      </w:r>
      <w:r w:rsidR="00092818" w:rsidRPr="00FA7341">
        <w:rPr>
          <w:rFonts w:ascii="Century Gothic" w:hAnsi="Century Gothic" w:cs="Arial"/>
        </w:rPr>
        <w:t>2</w:t>
      </w:r>
      <w:r w:rsidR="00274EA6">
        <w:rPr>
          <w:rFonts w:ascii="Century Gothic" w:hAnsi="Century Gothic" w:cs="Arial"/>
        </w:rPr>
        <w:t xml:space="preserve">3 </w:t>
      </w:r>
      <w:r w:rsidRPr="00FA7341">
        <w:rPr>
          <w:rFonts w:ascii="Century Gothic" w:hAnsi="Century Gothic" w:cs="Arial"/>
        </w:rPr>
        <w:t xml:space="preserve">a </w:t>
      </w:r>
      <w:r w:rsidR="00274EA6">
        <w:rPr>
          <w:rFonts w:ascii="Century Gothic" w:hAnsi="Century Gothic" w:cs="Arial"/>
        </w:rPr>
        <w:t>7093</w:t>
      </w:r>
      <w:r w:rsidRPr="00FA7341">
        <w:rPr>
          <w:rFonts w:ascii="Century Gothic" w:hAnsi="Century Gothic" w:cs="Arial"/>
        </w:rPr>
        <w:t>en 202</w:t>
      </w:r>
      <w:r w:rsidR="00274EA6">
        <w:rPr>
          <w:rFonts w:ascii="Century Gothic" w:hAnsi="Century Gothic" w:cs="Arial"/>
        </w:rPr>
        <w:t>5</w:t>
      </w:r>
      <w:r w:rsidR="000B1738" w:rsidRPr="00FA7341">
        <w:rPr>
          <w:rFonts w:ascii="Century Gothic" w:hAnsi="Century Gothic" w:cs="Arial"/>
        </w:rPr>
        <w:t xml:space="preserve">. </w:t>
      </w:r>
    </w:p>
    <w:p w14:paraId="46C67381" w14:textId="77777777" w:rsidR="00EB5327" w:rsidRPr="00FA7341" w:rsidRDefault="00EB5327" w:rsidP="007369E7">
      <w:pPr>
        <w:spacing w:after="0" w:line="240" w:lineRule="auto"/>
        <w:jc w:val="both"/>
        <w:rPr>
          <w:rFonts w:ascii="Century Gothic" w:hAnsi="Century Gothic" w:cs="Arial"/>
          <w:b/>
          <w:bCs/>
        </w:rPr>
      </w:pPr>
    </w:p>
    <w:p w14:paraId="769FD1B3" w14:textId="55037C9B" w:rsidR="00CD02CC" w:rsidRPr="00FA7341" w:rsidRDefault="00CD02CC" w:rsidP="00CD02CC">
      <w:pPr>
        <w:pStyle w:val="Descripcin"/>
        <w:spacing w:after="0"/>
        <w:jc w:val="center"/>
        <w:rPr>
          <w:rFonts w:ascii="Century Gothic" w:hAnsi="Century Gothic" w:cs="Arial"/>
          <w:color w:val="002060"/>
          <w:sz w:val="22"/>
          <w:szCs w:val="22"/>
        </w:rPr>
      </w:pPr>
      <w:bookmarkStart w:id="47" w:name="_Toc226395614"/>
      <w:bookmarkStart w:id="48" w:name="_Toc179188742"/>
      <w:r w:rsidRPr="00FA7341">
        <w:rPr>
          <w:rFonts w:ascii="Century Gothic" w:hAnsi="Century Gothic" w:cs="Arial"/>
          <w:color w:val="002060"/>
          <w:sz w:val="22"/>
          <w:szCs w:val="22"/>
        </w:rPr>
        <w:t xml:space="preserve">Gráfico </w:t>
      </w:r>
      <w:r w:rsidRPr="00FA7341">
        <w:rPr>
          <w:rFonts w:ascii="Century Gothic" w:hAnsi="Century Gothic" w:cs="Arial"/>
          <w:color w:val="002060"/>
          <w:sz w:val="22"/>
          <w:szCs w:val="22"/>
        </w:rPr>
        <w:fldChar w:fldCharType="begin"/>
      </w:r>
      <w:r w:rsidRPr="00FA7341">
        <w:rPr>
          <w:rFonts w:ascii="Century Gothic" w:hAnsi="Century Gothic" w:cs="Arial"/>
          <w:color w:val="002060"/>
          <w:sz w:val="22"/>
          <w:szCs w:val="22"/>
        </w:rPr>
        <w:instrText xml:space="preserve"> SEQ Gráfico \* ARABIC </w:instrText>
      </w:r>
      <w:r w:rsidRPr="00FA7341">
        <w:rPr>
          <w:rFonts w:ascii="Century Gothic" w:hAnsi="Century Gothic" w:cs="Arial"/>
          <w:color w:val="002060"/>
          <w:sz w:val="22"/>
          <w:szCs w:val="22"/>
        </w:rPr>
        <w:fldChar w:fldCharType="separate"/>
      </w:r>
      <w:r w:rsidR="00030ED5" w:rsidRPr="00FA7341">
        <w:rPr>
          <w:rFonts w:ascii="Century Gothic" w:hAnsi="Century Gothic" w:cs="Arial"/>
          <w:noProof/>
          <w:color w:val="002060"/>
          <w:sz w:val="22"/>
          <w:szCs w:val="22"/>
        </w:rPr>
        <w:t>9</w:t>
      </w:r>
      <w:r w:rsidRPr="00FA7341">
        <w:rPr>
          <w:rFonts w:ascii="Century Gothic" w:hAnsi="Century Gothic" w:cs="Arial"/>
          <w:color w:val="002060"/>
          <w:sz w:val="22"/>
          <w:szCs w:val="22"/>
        </w:rPr>
        <w:fldChar w:fldCharType="end"/>
      </w:r>
      <w:r w:rsidRPr="00FA7341">
        <w:rPr>
          <w:rFonts w:ascii="Century Gothic" w:hAnsi="Century Gothic" w:cs="Arial"/>
          <w:color w:val="002060"/>
          <w:sz w:val="22"/>
          <w:szCs w:val="22"/>
        </w:rPr>
        <w:t xml:space="preserve"> Valor total por familia</w:t>
      </w:r>
      <w:bookmarkEnd w:id="47"/>
    </w:p>
    <w:bookmarkEnd w:id="48"/>
    <w:p w14:paraId="19AD0BFE" w14:textId="2499C0E0" w:rsidR="00EB5327" w:rsidRPr="00FA7341" w:rsidRDefault="00274EA6" w:rsidP="00F509BD">
      <w:pPr>
        <w:pStyle w:val="Descripcin"/>
        <w:spacing w:after="0"/>
        <w:jc w:val="center"/>
        <w:rPr>
          <w:rFonts w:ascii="Century Gothic" w:hAnsi="Century Gothic" w:cs="Arial"/>
          <w:b w:val="0"/>
          <w:bCs w:val="0"/>
          <w:sz w:val="22"/>
          <w:szCs w:val="22"/>
        </w:rPr>
      </w:pPr>
      <w:r w:rsidRPr="00274EA6">
        <w:rPr>
          <w:rFonts w:ascii="Century Gothic" w:hAnsi="Century Gothic" w:cs="Arial"/>
          <w:b w:val="0"/>
          <w:bCs w:val="0"/>
          <w:noProof/>
          <w:sz w:val="22"/>
          <w:szCs w:val="22"/>
        </w:rPr>
        <w:drawing>
          <wp:inline distT="0" distB="0" distL="0" distR="0" wp14:anchorId="398913B0" wp14:editId="66094A4C">
            <wp:extent cx="5612130" cy="2703830"/>
            <wp:effectExtent l="0" t="0" r="7620" b="1270"/>
            <wp:docPr id="16305123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512318" name=""/>
                    <pic:cNvPicPr/>
                  </pic:nvPicPr>
                  <pic:blipFill>
                    <a:blip r:embed="rId28"/>
                    <a:stretch>
                      <a:fillRect/>
                    </a:stretch>
                  </pic:blipFill>
                  <pic:spPr>
                    <a:xfrm>
                      <a:off x="0" y="0"/>
                      <a:ext cx="5612130" cy="2703830"/>
                    </a:xfrm>
                    <a:prstGeom prst="rect">
                      <a:avLst/>
                    </a:prstGeom>
                  </pic:spPr>
                </pic:pic>
              </a:graphicData>
            </a:graphic>
          </wp:inline>
        </w:drawing>
      </w:r>
    </w:p>
    <w:p w14:paraId="1EB1CA05" w14:textId="65A951E0" w:rsidR="000B1738" w:rsidRPr="00FA7341" w:rsidRDefault="00EB5327" w:rsidP="007369E7">
      <w:pPr>
        <w:spacing w:after="0"/>
        <w:jc w:val="center"/>
        <w:rPr>
          <w:rFonts w:ascii="Century Gothic" w:hAnsi="Century Gothic" w:cs="Arial"/>
          <w:color w:val="000000"/>
        </w:rPr>
      </w:pPr>
      <w:r w:rsidRPr="00FA7341">
        <w:rPr>
          <w:rFonts w:ascii="Century Gothic" w:hAnsi="Century Gothic" w:cs="Arial"/>
          <w:color w:val="000000"/>
        </w:rPr>
        <w:t xml:space="preserve">Fuente: Colombia Compra Eficiente – Análisis de la </w:t>
      </w:r>
      <w:r w:rsidR="00F509BD" w:rsidRPr="00FA7341">
        <w:rPr>
          <w:rFonts w:ascii="Century Gothic" w:hAnsi="Century Gothic" w:cs="Arial"/>
          <w:color w:val="000000"/>
        </w:rPr>
        <w:t xml:space="preserve">Demanda </w:t>
      </w:r>
      <w:r w:rsidR="00F55E51" w:rsidRPr="00FA7341">
        <w:rPr>
          <w:rFonts w:ascii="Century Gothic" w:hAnsi="Century Gothic" w:cs="Arial"/>
          <w:color w:val="000000"/>
        </w:rPr>
        <w:t>–</w:t>
      </w:r>
    </w:p>
    <w:p w14:paraId="021C5506" w14:textId="77777777" w:rsidR="000A6771" w:rsidRPr="00FA7341" w:rsidRDefault="000A6771" w:rsidP="007369E7">
      <w:pPr>
        <w:spacing w:after="0" w:line="240" w:lineRule="auto"/>
        <w:rPr>
          <w:rFonts w:ascii="Century Gothic" w:hAnsi="Century Gothic" w:cs="Arial"/>
          <w:color w:val="000000"/>
        </w:rPr>
      </w:pPr>
    </w:p>
    <w:p w14:paraId="13F66D06" w14:textId="77777777" w:rsidR="005D79F7" w:rsidRPr="00FA7341" w:rsidRDefault="003016B2" w:rsidP="009B016D">
      <w:pPr>
        <w:pStyle w:val="Ttulo1"/>
        <w:keepNext w:val="0"/>
        <w:keepLines w:val="0"/>
        <w:widowControl w:val="0"/>
        <w:numPr>
          <w:ilvl w:val="0"/>
          <w:numId w:val="12"/>
        </w:numPr>
        <w:shd w:val="clear" w:color="auto" w:fill="002060"/>
        <w:autoSpaceDE w:val="0"/>
        <w:autoSpaceDN w:val="0"/>
        <w:spacing w:before="0" w:line="240" w:lineRule="auto"/>
        <w:rPr>
          <w:rFonts w:ascii="Century Gothic" w:hAnsi="Century Gothic" w:cs="Arial"/>
          <w:noProof/>
          <w:color w:val="FFFFFF"/>
          <w:sz w:val="22"/>
          <w:szCs w:val="22"/>
          <w:lang w:eastAsia="es-ES"/>
        </w:rPr>
      </w:pPr>
      <w:bookmarkStart w:id="49" w:name="_Toc232673902"/>
      <w:r w:rsidRPr="00FA7341">
        <w:rPr>
          <w:rFonts w:ascii="Century Gothic" w:hAnsi="Century Gothic" w:cs="Arial"/>
          <w:noProof/>
          <w:color w:val="FFFFFF"/>
          <w:sz w:val="22"/>
          <w:szCs w:val="22"/>
          <w:lang w:eastAsia="es-ES"/>
        </w:rPr>
        <w:t>Modalidad de Contratación</w:t>
      </w:r>
      <w:bookmarkEnd w:id="49"/>
      <w:r w:rsidRPr="00FA7341">
        <w:rPr>
          <w:rFonts w:ascii="Century Gothic" w:hAnsi="Century Gothic" w:cs="Arial"/>
          <w:noProof/>
          <w:color w:val="FFFFFF"/>
          <w:sz w:val="22"/>
          <w:szCs w:val="22"/>
          <w:lang w:eastAsia="es-ES"/>
        </w:rPr>
        <w:t xml:space="preserve"> </w:t>
      </w:r>
    </w:p>
    <w:p w14:paraId="71F2EBE4" w14:textId="77777777" w:rsidR="00ED0253" w:rsidRPr="00FA7341" w:rsidRDefault="00ED0253" w:rsidP="007369E7">
      <w:pPr>
        <w:spacing w:after="0" w:line="240" w:lineRule="auto"/>
        <w:jc w:val="both"/>
        <w:rPr>
          <w:rFonts w:ascii="Century Gothic" w:hAnsi="Century Gothic" w:cs="Arial"/>
        </w:rPr>
      </w:pPr>
    </w:p>
    <w:p w14:paraId="1D7FE56A" w14:textId="4E90D31F" w:rsidR="00A664B8" w:rsidRPr="00FA7341" w:rsidRDefault="00A664B8" w:rsidP="00A664B8">
      <w:pPr>
        <w:spacing w:after="0" w:line="240" w:lineRule="auto"/>
        <w:jc w:val="both"/>
        <w:rPr>
          <w:rFonts w:ascii="Century Gothic" w:hAnsi="Century Gothic" w:cs="Arial"/>
        </w:rPr>
      </w:pPr>
      <w:r w:rsidRPr="00FA7341">
        <w:rPr>
          <w:rFonts w:ascii="Century Gothic" w:hAnsi="Century Gothic" w:cs="Arial"/>
        </w:rPr>
        <w:t xml:space="preserve">Teniendo en cuenta que la naturaleza del objeto contractual se enmarca en los conceptos señalados en el artículo 2 de la Ley 1150 de 2007, el Departamento Administrativo de Función Pública de Cundinamarca considera pertinente adelantar un proceso de selección a través de la modalidad de Selección </w:t>
      </w:r>
      <w:r w:rsidRPr="00FA7341">
        <w:rPr>
          <w:rFonts w:ascii="Century Gothic" w:hAnsi="Century Gothic" w:cs="Arial"/>
        </w:rPr>
        <w:lastRenderedPageBreak/>
        <w:t>Abreviada para la Adquisición de Bienes y Servicios de Características Técnicas Uniformes mediante Subasta Inversa, de acuerdo con la modalidad de selección establecida en el Artículo 2, Numeral 2, literal a) de la Ley 1150 de 2007.</w:t>
      </w:r>
    </w:p>
    <w:p w14:paraId="0A4779C8" w14:textId="77777777" w:rsidR="00CC53FE" w:rsidRPr="00FA7341" w:rsidRDefault="00CC53FE" w:rsidP="00A664B8">
      <w:pPr>
        <w:spacing w:after="0" w:line="240" w:lineRule="auto"/>
        <w:jc w:val="both"/>
        <w:rPr>
          <w:rFonts w:ascii="Century Gothic" w:hAnsi="Century Gothic" w:cs="Arial"/>
        </w:rPr>
      </w:pPr>
    </w:p>
    <w:p w14:paraId="7BEF7AF0" w14:textId="77777777" w:rsidR="00CC53FE" w:rsidRPr="00FA7341" w:rsidRDefault="00CC53FE" w:rsidP="00CC53FE">
      <w:pPr>
        <w:spacing w:after="0" w:line="240" w:lineRule="auto"/>
        <w:jc w:val="both"/>
        <w:rPr>
          <w:rFonts w:ascii="Century Gothic" w:hAnsi="Century Gothic" w:cs="Arial"/>
        </w:rPr>
      </w:pPr>
      <w:r w:rsidRPr="00FA7341">
        <w:rPr>
          <w:rFonts w:ascii="Century Gothic" w:hAnsi="Century Gothic" w:cs="Arial"/>
        </w:rPr>
        <w:t>Asimismo, en aras de dar cumplimiento con la norma mencionada, el Departamento Administrativo de Función Pública de Cundinamarca, para llevar a cabo el proceso contractual, utilizará el proceso de selección abreviada a través del procedimiento de Subasta Inversa de acuerdo con lo señalado en el artículo 2.2.1.2.1.2.2 y siguientes del Decreto 1082 de 2015.</w:t>
      </w:r>
    </w:p>
    <w:p w14:paraId="12FBD706" w14:textId="3AAE3605" w:rsidR="00A664B8" w:rsidRPr="00FA7341" w:rsidRDefault="00A664B8" w:rsidP="00A664B8">
      <w:pPr>
        <w:spacing w:after="0" w:line="240" w:lineRule="auto"/>
        <w:jc w:val="both"/>
        <w:rPr>
          <w:rFonts w:ascii="Century Gothic" w:hAnsi="Century Gothic" w:cs="Arial"/>
        </w:rPr>
      </w:pPr>
    </w:p>
    <w:p w14:paraId="0BABF0EC" w14:textId="293C9076" w:rsidR="002E6A8A" w:rsidRPr="00FA7341" w:rsidRDefault="002E6A8A" w:rsidP="002E6A8A">
      <w:pPr>
        <w:spacing w:after="0" w:line="240" w:lineRule="auto"/>
        <w:jc w:val="both"/>
        <w:rPr>
          <w:rFonts w:ascii="Century Gothic" w:hAnsi="Century Gothic" w:cs="Arial"/>
        </w:rPr>
      </w:pPr>
      <w:r w:rsidRPr="00FA7341">
        <w:rPr>
          <w:rFonts w:ascii="Century Gothic" w:hAnsi="Century Gothic" w:cs="Arial"/>
        </w:rPr>
        <w:t>Lo anterior, teniendo en cuenta que el presupuesto oficial del presente proceso de selección excede del diez por ciento (10%) de la menor cuantía establecida para la Gobernación de Cundinamarca para la vigencia fiscal 202</w:t>
      </w:r>
      <w:r w:rsidR="00CC53FE" w:rsidRPr="00FA7341">
        <w:rPr>
          <w:rFonts w:ascii="Century Gothic" w:hAnsi="Century Gothic" w:cs="Arial"/>
        </w:rPr>
        <w:t>6</w:t>
      </w:r>
      <w:r w:rsidRPr="00FA7341">
        <w:rPr>
          <w:rFonts w:ascii="Century Gothic" w:hAnsi="Century Gothic" w:cs="Arial"/>
        </w:rPr>
        <w:t>.</w:t>
      </w:r>
    </w:p>
    <w:p w14:paraId="72509812" w14:textId="77777777" w:rsidR="002E6A8A" w:rsidRPr="00FA7341" w:rsidRDefault="002E6A8A" w:rsidP="007369E7">
      <w:pPr>
        <w:spacing w:after="0" w:line="240" w:lineRule="auto"/>
        <w:jc w:val="both"/>
        <w:rPr>
          <w:rFonts w:ascii="Century Gothic" w:hAnsi="Century Gothic" w:cs="Arial"/>
        </w:rPr>
      </w:pPr>
    </w:p>
    <w:p w14:paraId="08FFE922" w14:textId="77777777" w:rsidR="003016B2" w:rsidRPr="00FA7341" w:rsidRDefault="003016B2" w:rsidP="009B016D">
      <w:pPr>
        <w:pStyle w:val="Ttulo2"/>
        <w:widowControl w:val="0"/>
        <w:numPr>
          <w:ilvl w:val="1"/>
          <w:numId w:val="12"/>
        </w:numPr>
        <w:shd w:val="clear" w:color="auto" w:fill="002060"/>
        <w:autoSpaceDE w:val="0"/>
        <w:autoSpaceDN w:val="0"/>
        <w:spacing w:before="0" w:line="240" w:lineRule="auto"/>
        <w:rPr>
          <w:rFonts w:ascii="Century Gothic" w:hAnsi="Century Gothic" w:cs="Arial"/>
          <w:color w:val="FFFFFF"/>
          <w:sz w:val="22"/>
          <w:szCs w:val="22"/>
        </w:rPr>
      </w:pPr>
      <w:bookmarkStart w:id="50" w:name="_Toc232673903"/>
      <w:r w:rsidRPr="00FA7341">
        <w:rPr>
          <w:rFonts w:ascii="Century Gothic" w:hAnsi="Century Gothic" w:cs="Arial"/>
          <w:color w:val="FFFFFF"/>
          <w:sz w:val="22"/>
          <w:szCs w:val="22"/>
        </w:rPr>
        <w:t>IDENTIFICACIÓN DEL CONTRATO A CELEBRAR</w:t>
      </w:r>
      <w:bookmarkEnd w:id="50"/>
    </w:p>
    <w:p w14:paraId="5FB85604" w14:textId="08A43384" w:rsidR="0016556D" w:rsidRPr="00FA7341" w:rsidRDefault="0016556D" w:rsidP="002E6A8A">
      <w:pPr>
        <w:spacing w:after="0" w:line="240" w:lineRule="auto"/>
        <w:jc w:val="both"/>
        <w:rPr>
          <w:rFonts w:ascii="Century Gothic" w:hAnsi="Century Gothic" w:cs="Arial"/>
        </w:rPr>
      </w:pPr>
    </w:p>
    <w:p w14:paraId="1E58F877" w14:textId="2835F563" w:rsidR="002E6A8A" w:rsidRPr="00FA7341" w:rsidRDefault="004B0329" w:rsidP="002E6A8A">
      <w:pPr>
        <w:spacing w:after="0" w:line="240" w:lineRule="auto"/>
        <w:jc w:val="both"/>
        <w:rPr>
          <w:rFonts w:ascii="Century Gothic" w:hAnsi="Century Gothic" w:cs="Arial"/>
        </w:rPr>
      </w:pPr>
      <w:r w:rsidRPr="00FA7341">
        <w:rPr>
          <w:rFonts w:ascii="Century Gothic" w:hAnsi="Century Gothic" w:cs="Arial"/>
        </w:rPr>
        <w:t>SUMINISTRO</w:t>
      </w:r>
      <w:r w:rsidR="002E6A8A" w:rsidRPr="00FA7341">
        <w:rPr>
          <w:rFonts w:ascii="Century Gothic" w:hAnsi="Century Gothic" w:cs="Arial"/>
        </w:rPr>
        <w:t>.</w:t>
      </w:r>
    </w:p>
    <w:p w14:paraId="3E7F6176" w14:textId="77777777" w:rsidR="00F55E51" w:rsidRPr="00FA7341" w:rsidRDefault="00F55E51" w:rsidP="007369E7">
      <w:pPr>
        <w:spacing w:after="0" w:line="240" w:lineRule="auto"/>
        <w:jc w:val="both"/>
        <w:rPr>
          <w:rFonts w:ascii="Century Gothic" w:hAnsi="Century Gothic" w:cs="Arial"/>
          <w:b/>
          <w:bCs/>
          <w:i/>
          <w:iCs/>
          <w:color w:val="FF0000"/>
          <w:u w:val="single"/>
        </w:rPr>
      </w:pPr>
    </w:p>
    <w:p w14:paraId="37CAB85F" w14:textId="77777777" w:rsidR="003016B2" w:rsidRPr="00FA7341" w:rsidRDefault="003016B2" w:rsidP="009B016D">
      <w:pPr>
        <w:pStyle w:val="Ttulo1"/>
        <w:keepNext w:val="0"/>
        <w:keepLines w:val="0"/>
        <w:widowControl w:val="0"/>
        <w:numPr>
          <w:ilvl w:val="0"/>
          <w:numId w:val="12"/>
        </w:numPr>
        <w:shd w:val="clear" w:color="auto" w:fill="002060"/>
        <w:autoSpaceDE w:val="0"/>
        <w:autoSpaceDN w:val="0"/>
        <w:spacing w:before="0" w:line="240" w:lineRule="auto"/>
        <w:jc w:val="both"/>
        <w:rPr>
          <w:rFonts w:ascii="Century Gothic" w:hAnsi="Century Gothic" w:cs="Arial"/>
          <w:noProof/>
          <w:color w:val="FFFFFF"/>
          <w:sz w:val="22"/>
          <w:szCs w:val="22"/>
          <w:lang w:eastAsia="es-ES"/>
        </w:rPr>
      </w:pPr>
      <w:bookmarkStart w:id="51" w:name="_Toc232673904"/>
      <w:r w:rsidRPr="00FA7341">
        <w:rPr>
          <w:rFonts w:ascii="Century Gothic" w:hAnsi="Century Gothic" w:cs="Arial"/>
          <w:noProof/>
          <w:color w:val="FFFFFF"/>
          <w:sz w:val="22"/>
          <w:szCs w:val="22"/>
          <w:lang w:eastAsia="es-ES"/>
        </w:rPr>
        <w:t>Plazo del contrato</w:t>
      </w:r>
      <w:bookmarkEnd w:id="51"/>
    </w:p>
    <w:p w14:paraId="14C33724" w14:textId="71885383" w:rsidR="00101379" w:rsidRPr="00FA7341" w:rsidRDefault="00821191" w:rsidP="00821191">
      <w:pPr>
        <w:spacing w:after="0" w:line="240" w:lineRule="auto"/>
        <w:jc w:val="both"/>
        <w:rPr>
          <w:rFonts w:ascii="Century Gothic" w:hAnsi="Century Gothic" w:cs="Arial"/>
        </w:rPr>
      </w:pPr>
      <w:r w:rsidRPr="00FA7341">
        <w:rPr>
          <w:rFonts w:ascii="Century Gothic" w:hAnsi="Century Gothic" w:cs="Arial"/>
        </w:rPr>
        <w:t xml:space="preserve">El plazo para la ejecución del contrato será de dos (2) meses, contados a partir de la suscripción del acta de inicio, previo al cumplimiento de los requisitos de ejecución </w:t>
      </w:r>
      <w:proofErr w:type="gramStart"/>
      <w:r w:rsidRPr="00FA7341">
        <w:rPr>
          <w:rFonts w:ascii="Century Gothic" w:hAnsi="Century Gothic" w:cs="Arial"/>
        </w:rPr>
        <w:t>del mismo</w:t>
      </w:r>
      <w:proofErr w:type="gramEnd"/>
      <w:r w:rsidRPr="00FA7341">
        <w:rPr>
          <w:rFonts w:ascii="Century Gothic" w:hAnsi="Century Gothic" w:cs="Arial"/>
        </w:rPr>
        <w:t>.</w:t>
      </w:r>
    </w:p>
    <w:p w14:paraId="7CB7BC1D" w14:textId="77777777" w:rsidR="00F55E51" w:rsidRPr="00FA7341" w:rsidRDefault="00F55E51" w:rsidP="007369E7">
      <w:pPr>
        <w:spacing w:after="0" w:line="240" w:lineRule="auto"/>
        <w:jc w:val="both"/>
        <w:rPr>
          <w:rFonts w:ascii="Century Gothic" w:hAnsi="Century Gothic" w:cs="Arial"/>
        </w:rPr>
      </w:pPr>
    </w:p>
    <w:p w14:paraId="2FB8AAA8" w14:textId="77777777" w:rsidR="003016B2" w:rsidRPr="00FA7341" w:rsidRDefault="003016B2" w:rsidP="009B016D">
      <w:pPr>
        <w:pStyle w:val="Ttulo1"/>
        <w:keepNext w:val="0"/>
        <w:keepLines w:val="0"/>
        <w:widowControl w:val="0"/>
        <w:numPr>
          <w:ilvl w:val="0"/>
          <w:numId w:val="12"/>
        </w:numPr>
        <w:shd w:val="clear" w:color="auto" w:fill="002060"/>
        <w:autoSpaceDE w:val="0"/>
        <w:autoSpaceDN w:val="0"/>
        <w:spacing w:before="0" w:line="240" w:lineRule="auto"/>
        <w:jc w:val="both"/>
        <w:rPr>
          <w:rFonts w:ascii="Century Gothic" w:hAnsi="Century Gothic" w:cs="Arial"/>
          <w:noProof/>
          <w:color w:val="FFFFFF"/>
          <w:sz w:val="22"/>
          <w:szCs w:val="22"/>
          <w:lang w:eastAsia="es-ES"/>
        </w:rPr>
      </w:pPr>
      <w:bookmarkStart w:id="52" w:name="_Toc232673905"/>
      <w:r w:rsidRPr="00FA7341">
        <w:rPr>
          <w:rFonts w:ascii="Century Gothic" w:hAnsi="Century Gothic" w:cs="Arial"/>
          <w:noProof/>
          <w:color w:val="FFFFFF"/>
          <w:sz w:val="22"/>
          <w:szCs w:val="22"/>
          <w:lang w:eastAsia="es-ES"/>
        </w:rPr>
        <w:t>Garantías exigidas</w:t>
      </w:r>
      <w:bookmarkEnd w:id="52"/>
    </w:p>
    <w:p w14:paraId="5A77CE1D" w14:textId="77777777" w:rsidR="003016B2" w:rsidRPr="00FA7341" w:rsidRDefault="003016B2" w:rsidP="007369E7">
      <w:pPr>
        <w:spacing w:after="0" w:line="240" w:lineRule="auto"/>
        <w:jc w:val="both"/>
        <w:rPr>
          <w:rFonts w:ascii="Century Gothic" w:hAnsi="Century Gothic" w:cs="Arial"/>
        </w:rPr>
      </w:pPr>
    </w:p>
    <w:p w14:paraId="3869C3E2" w14:textId="77777777" w:rsidR="00CC53FE" w:rsidRPr="00FA7341" w:rsidRDefault="00CC53FE" w:rsidP="00CC53FE">
      <w:pPr>
        <w:spacing w:after="0" w:line="240" w:lineRule="auto"/>
        <w:jc w:val="both"/>
        <w:rPr>
          <w:rFonts w:ascii="Century Gothic" w:hAnsi="Century Gothic" w:cs="Arial"/>
        </w:rPr>
      </w:pPr>
      <w:r w:rsidRPr="00FA7341">
        <w:rPr>
          <w:rFonts w:ascii="Century Gothic" w:hAnsi="Century Gothic" w:cs="Arial"/>
        </w:rPr>
        <w:t>De conformidad con lo dispuesto en la Ley 80 de 1993, Ley 1150 de 2007 y el Decreto 1082 de 2015, el contratista se obliga a garantizar el cumplimiento de las obligaciones surgidas a favor del Departamento Administrativo de la Función Pública, con ocasión de la ejecución del contrato y de su liquidación a través de cualquiera de los mecanismos de cobertura del riesgo señalados en el Artículo 2.2.1.2.3.1.2. del Decreto 1082 de 2015 (Contrato de seguro contenido en una póliza, patrimonio autónomo y garantía bancaria). Para tal efecto, la garantía debe cubrir los siguientes amparos:</w:t>
      </w:r>
    </w:p>
    <w:p w14:paraId="4C8C7ED5" w14:textId="2D65879F" w:rsidR="00CC53FE" w:rsidRPr="00FA7341" w:rsidRDefault="00CC53FE" w:rsidP="00CC53FE">
      <w:pPr>
        <w:spacing w:after="0" w:line="240" w:lineRule="auto"/>
        <w:jc w:val="both"/>
        <w:rPr>
          <w:rFonts w:ascii="Century Gothic" w:hAnsi="Century Gothic" w:cs="Arial"/>
        </w:rPr>
      </w:pPr>
      <w:r w:rsidRPr="00FA7341">
        <w:rPr>
          <w:rFonts w:ascii="Century Gothic" w:hAnsi="Century Gothic" w:cs="Arial"/>
        </w:rPr>
        <w:t>El Departamento Administrativo de Función Pública de Cundinamarca requiere que la garantía para cada riesgo tenga la siguiente suficiencia:</w:t>
      </w:r>
    </w:p>
    <w:p w14:paraId="0E69893F" w14:textId="77777777" w:rsidR="00CC53FE" w:rsidRPr="00FA7341" w:rsidRDefault="00CC53FE" w:rsidP="00CC53FE">
      <w:pPr>
        <w:spacing w:after="0" w:line="240" w:lineRule="auto"/>
        <w:jc w:val="both"/>
        <w:rPr>
          <w:rFonts w:ascii="Century Gothic" w:hAnsi="Century Gothic" w:cs="Arial"/>
        </w:rPr>
      </w:pPr>
    </w:p>
    <w:p w14:paraId="44EA8107" w14:textId="77777777" w:rsidR="00CC53FE" w:rsidRPr="00FA7341" w:rsidRDefault="00CC53FE" w:rsidP="00CC53FE">
      <w:pPr>
        <w:numPr>
          <w:ilvl w:val="0"/>
          <w:numId w:val="31"/>
        </w:numPr>
        <w:spacing w:after="0" w:line="240" w:lineRule="auto"/>
        <w:jc w:val="both"/>
        <w:rPr>
          <w:rFonts w:ascii="Century Gothic" w:hAnsi="Century Gothic" w:cs="Arial"/>
        </w:rPr>
      </w:pPr>
      <w:r w:rsidRPr="00FA7341">
        <w:rPr>
          <w:rFonts w:ascii="Century Gothic" w:hAnsi="Century Gothic" w:cs="Arial"/>
        </w:rPr>
        <w:t xml:space="preserve">Cumplimiento de las obligaciones surgidas del contrato estatal:  Teniendo en cuenta el valor del contrato y las obligaciones surgidas de este, así como el valor a estimar en la cláusula penal pecuniaria, se considera que el valor de la garantía debe ser igual al 20% del valor del contrato. En cuanto a su vigencia, como quiera que el plazo para liquidar el mismo es de cuatro (4) </w:t>
      </w:r>
      <w:r w:rsidRPr="00FA7341">
        <w:rPr>
          <w:rFonts w:ascii="Century Gothic" w:hAnsi="Century Gothic" w:cs="Arial"/>
        </w:rPr>
        <w:lastRenderedPageBreak/>
        <w:t>meses a partir de la terminación, se exigirá que esta comprenda el plazo de ejecución y cuatro (4) meses más.</w:t>
      </w:r>
    </w:p>
    <w:p w14:paraId="3B44B798" w14:textId="77777777" w:rsidR="00CC53FE" w:rsidRPr="00FA7341" w:rsidRDefault="00CC53FE" w:rsidP="00CC53FE">
      <w:pPr>
        <w:spacing w:after="0" w:line="240" w:lineRule="auto"/>
        <w:ind w:left="720"/>
        <w:jc w:val="both"/>
        <w:rPr>
          <w:rFonts w:ascii="Century Gothic" w:hAnsi="Century Gothic" w:cs="Arial"/>
        </w:rPr>
      </w:pPr>
    </w:p>
    <w:p w14:paraId="0EE559C2" w14:textId="2F91CF30" w:rsidR="00CC53FE" w:rsidRPr="00FA7341" w:rsidRDefault="00CC53FE" w:rsidP="00CC53FE">
      <w:pPr>
        <w:spacing w:after="0" w:line="240" w:lineRule="auto"/>
        <w:jc w:val="both"/>
        <w:rPr>
          <w:rFonts w:ascii="Century Gothic" w:hAnsi="Century Gothic" w:cs="Arial"/>
        </w:rPr>
      </w:pPr>
      <w:r w:rsidRPr="00FA7341">
        <w:rPr>
          <w:rFonts w:ascii="Century Gothic" w:hAnsi="Century Gothic" w:cs="Arial"/>
        </w:rPr>
        <w:t>Calidad de los bienes Teniendo en cuenta el objeto, valor, naturaleza y obligaciones a recibir con la ejecución del presente contrato, se estima el valor de la garantía igual al 20% del valor del contrato y con una vigencia que comprenda el plazo de ejecución y cuatro (4) meses más.</w:t>
      </w:r>
    </w:p>
    <w:p w14:paraId="5A392802" w14:textId="77777777" w:rsidR="00CC53FE" w:rsidRPr="00FA7341" w:rsidRDefault="00CC53FE" w:rsidP="00CC53FE">
      <w:pPr>
        <w:spacing w:after="0" w:line="240" w:lineRule="auto"/>
        <w:jc w:val="both"/>
        <w:rPr>
          <w:rFonts w:ascii="Century Gothic" w:hAnsi="Century Gothic"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76"/>
        <w:gridCol w:w="3703"/>
      </w:tblGrid>
      <w:tr w:rsidR="00CC53FE" w:rsidRPr="00FA7341" w14:paraId="51696F4A" w14:textId="77777777" w:rsidTr="00C52C3F">
        <w:tc>
          <w:tcPr>
            <w:tcW w:w="2410" w:type="dxa"/>
          </w:tcPr>
          <w:p w14:paraId="7D323DC2" w14:textId="77777777" w:rsidR="00CC53FE" w:rsidRPr="00FA7341" w:rsidRDefault="00CC53FE" w:rsidP="00C816B0">
            <w:pPr>
              <w:jc w:val="both"/>
              <w:rPr>
                <w:rFonts w:ascii="Century Gothic" w:hAnsi="Century Gothic" w:cs="Arial"/>
              </w:rPr>
            </w:pPr>
            <w:r w:rsidRPr="00FA7341">
              <w:rPr>
                <w:rFonts w:ascii="Century Gothic" w:hAnsi="Century Gothic" w:cs="Arial"/>
              </w:rPr>
              <w:t>Amparos exigidos</w:t>
            </w:r>
          </w:p>
        </w:tc>
        <w:tc>
          <w:tcPr>
            <w:tcW w:w="2676" w:type="dxa"/>
          </w:tcPr>
          <w:p w14:paraId="0B782A99" w14:textId="464E8752" w:rsidR="00CC53FE" w:rsidRPr="00FA7341" w:rsidRDefault="00CC53FE" w:rsidP="00C816B0">
            <w:pPr>
              <w:jc w:val="both"/>
              <w:rPr>
                <w:rFonts w:ascii="Century Gothic" w:hAnsi="Century Gothic" w:cs="Arial"/>
              </w:rPr>
            </w:pPr>
            <w:r w:rsidRPr="00FA7341">
              <w:rPr>
                <w:rFonts w:ascii="Century Gothic" w:hAnsi="Century Gothic" w:cs="Arial"/>
              </w:rPr>
              <w:t>Valor mínimo asegurado</w:t>
            </w:r>
          </w:p>
        </w:tc>
        <w:tc>
          <w:tcPr>
            <w:tcW w:w="3703" w:type="dxa"/>
          </w:tcPr>
          <w:p w14:paraId="1C06F172" w14:textId="77777777" w:rsidR="00CC53FE" w:rsidRPr="00FA7341" w:rsidRDefault="00CC53FE" w:rsidP="00C816B0">
            <w:pPr>
              <w:jc w:val="both"/>
              <w:rPr>
                <w:rFonts w:ascii="Century Gothic" w:hAnsi="Century Gothic" w:cs="Arial"/>
              </w:rPr>
            </w:pPr>
            <w:r w:rsidRPr="00FA7341">
              <w:rPr>
                <w:rFonts w:ascii="Century Gothic" w:hAnsi="Century Gothic" w:cs="Arial"/>
              </w:rPr>
              <w:t>Vigencia mínima exigida</w:t>
            </w:r>
          </w:p>
        </w:tc>
      </w:tr>
      <w:tr w:rsidR="00CC53FE" w:rsidRPr="00FA7341" w14:paraId="4E5F5BED" w14:textId="77777777" w:rsidTr="00C52C3F">
        <w:tc>
          <w:tcPr>
            <w:tcW w:w="2410" w:type="dxa"/>
          </w:tcPr>
          <w:p w14:paraId="54DF51A8" w14:textId="77777777" w:rsidR="00CC53FE" w:rsidRPr="00FA7341" w:rsidRDefault="00CC53FE" w:rsidP="00C816B0">
            <w:pPr>
              <w:jc w:val="both"/>
              <w:rPr>
                <w:rFonts w:ascii="Century Gothic" w:hAnsi="Century Gothic" w:cs="Arial"/>
              </w:rPr>
            </w:pPr>
            <w:r w:rsidRPr="00FA7341">
              <w:rPr>
                <w:rFonts w:ascii="Century Gothic" w:hAnsi="Century Gothic" w:cs="Arial"/>
              </w:rPr>
              <w:t>Cumplimiento</w:t>
            </w:r>
          </w:p>
        </w:tc>
        <w:tc>
          <w:tcPr>
            <w:tcW w:w="2676" w:type="dxa"/>
          </w:tcPr>
          <w:p w14:paraId="164C89D4" w14:textId="77777777" w:rsidR="00CC53FE" w:rsidRPr="00FA7341" w:rsidRDefault="00CC53FE" w:rsidP="00C816B0">
            <w:pPr>
              <w:jc w:val="both"/>
              <w:rPr>
                <w:rFonts w:ascii="Century Gothic" w:hAnsi="Century Gothic" w:cs="Arial"/>
              </w:rPr>
            </w:pPr>
            <w:r w:rsidRPr="00FA7341">
              <w:rPr>
                <w:rFonts w:ascii="Century Gothic" w:hAnsi="Century Gothic" w:cs="Arial"/>
              </w:rPr>
              <w:t>20% del valor del contrato</w:t>
            </w:r>
          </w:p>
        </w:tc>
        <w:tc>
          <w:tcPr>
            <w:tcW w:w="3703" w:type="dxa"/>
          </w:tcPr>
          <w:p w14:paraId="11503DCB" w14:textId="4E458346" w:rsidR="00CC53FE" w:rsidRPr="00FA7341" w:rsidRDefault="00CC53FE" w:rsidP="00C816B0">
            <w:pPr>
              <w:jc w:val="both"/>
              <w:rPr>
                <w:rFonts w:ascii="Century Gothic" w:hAnsi="Century Gothic" w:cs="Arial"/>
              </w:rPr>
            </w:pPr>
            <w:r w:rsidRPr="00FA7341">
              <w:rPr>
                <w:rFonts w:ascii="Century Gothic" w:hAnsi="Century Gothic" w:cs="Arial"/>
              </w:rPr>
              <w:t xml:space="preserve">Vigente por el plazo de ejecución del contrato y </w:t>
            </w:r>
            <w:r w:rsidR="0036627B" w:rsidRPr="00FA7341">
              <w:rPr>
                <w:rFonts w:ascii="Century Gothic" w:hAnsi="Century Gothic" w:cs="Arial"/>
              </w:rPr>
              <w:t>seis</w:t>
            </w:r>
            <w:r w:rsidRPr="00FA7341">
              <w:rPr>
                <w:rFonts w:ascii="Century Gothic" w:hAnsi="Century Gothic" w:cs="Arial"/>
              </w:rPr>
              <w:t xml:space="preserve"> (0</w:t>
            </w:r>
            <w:r w:rsidR="0036627B" w:rsidRPr="00FA7341">
              <w:rPr>
                <w:rFonts w:ascii="Century Gothic" w:hAnsi="Century Gothic" w:cs="Arial"/>
              </w:rPr>
              <w:t>6</w:t>
            </w:r>
            <w:r w:rsidRPr="00FA7341">
              <w:rPr>
                <w:rFonts w:ascii="Century Gothic" w:hAnsi="Century Gothic" w:cs="Arial"/>
              </w:rPr>
              <w:t>) meses más contados a partir de la fecha de suscripción del contrato.</w:t>
            </w:r>
          </w:p>
        </w:tc>
      </w:tr>
      <w:tr w:rsidR="00CC53FE" w:rsidRPr="00FA7341" w14:paraId="3D0A7648" w14:textId="77777777" w:rsidTr="00C52C3F">
        <w:tc>
          <w:tcPr>
            <w:tcW w:w="2410" w:type="dxa"/>
          </w:tcPr>
          <w:p w14:paraId="3B56825E" w14:textId="77777777" w:rsidR="00CC53FE" w:rsidRPr="00FA7341" w:rsidRDefault="00CC53FE" w:rsidP="00C816B0">
            <w:pPr>
              <w:jc w:val="both"/>
              <w:rPr>
                <w:rFonts w:ascii="Century Gothic" w:hAnsi="Century Gothic" w:cs="Arial"/>
              </w:rPr>
            </w:pPr>
            <w:r w:rsidRPr="00FA7341">
              <w:rPr>
                <w:rFonts w:ascii="Century Gothic" w:hAnsi="Century Gothic" w:cs="Arial"/>
              </w:rPr>
              <w:t>Calidad de los bienes</w:t>
            </w:r>
          </w:p>
        </w:tc>
        <w:tc>
          <w:tcPr>
            <w:tcW w:w="2676" w:type="dxa"/>
          </w:tcPr>
          <w:p w14:paraId="00D41FE0" w14:textId="3DCFE011" w:rsidR="00CC53FE" w:rsidRPr="00FA7341" w:rsidRDefault="0001436C" w:rsidP="00C816B0">
            <w:pPr>
              <w:jc w:val="both"/>
              <w:rPr>
                <w:rFonts w:ascii="Century Gothic" w:hAnsi="Century Gothic" w:cs="Arial"/>
              </w:rPr>
            </w:pPr>
            <w:r w:rsidRPr="00FA7341">
              <w:rPr>
                <w:rFonts w:ascii="Century Gothic" w:hAnsi="Century Gothic" w:cs="Arial"/>
              </w:rPr>
              <w:t>10</w:t>
            </w:r>
            <w:r w:rsidR="00CC53FE" w:rsidRPr="00FA7341">
              <w:rPr>
                <w:rFonts w:ascii="Century Gothic" w:hAnsi="Century Gothic" w:cs="Arial"/>
              </w:rPr>
              <w:t>% del valor del contrato</w:t>
            </w:r>
          </w:p>
        </w:tc>
        <w:tc>
          <w:tcPr>
            <w:tcW w:w="3703" w:type="dxa"/>
          </w:tcPr>
          <w:p w14:paraId="64D7920A" w14:textId="07FB4D02" w:rsidR="00CC53FE" w:rsidRPr="00FA7341" w:rsidRDefault="00CC53FE" w:rsidP="00C816B0">
            <w:pPr>
              <w:jc w:val="both"/>
              <w:rPr>
                <w:rFonts w:ascii="Century Gothic" w:hAnsi="Century Gothic" w:cs="Arial"/>
              </w:rPr>
            </w:pPr>
            <w:r w:rsidRPr="00FA7341">
              <w:rPr>
                <w:rFonts w:ascii="Century Gothic" w:hAnsi="Century Gothic" w:cs="Arial"/>
              </w:rPr>
              <w:t xml:space="preserve">Vigente por el plazo de ejecución del contrato y </w:t>
            </w:r>
            <w:r w:rsidR="0036627B" w:rsidRPr="00FA7341">
              <w:rPr>
                <w:rFonts w:ascii="Century Gothic" w:hAnsi="Century Gothic" w:cs="Arial"/>
              </w:rPr>
              <w:t>seis</w:t>
            </w:r>
            <w:r w:rsidRPr="00FA7341">
              <w:rPr>
                <w:rFonts w:ascii="Century Gothic" w:hAnsi="Century Gothic" w:cs="Arial"/>
              </w:rPr>
              <w:t xml:space="preserve"> (0</w:t>
            </w:r>
            <w:r w:rsidR="0036627B" w:rsidRPr="00FA7341">
              <w:rPr>
                <w:rFonts w:ascii="Century Gothic" w:hAnsi="Century Gothic" w:cs="Arial"/>
              </w:rPr>
              <w:t>6</w:t>
            </w:r>
            <w:r w:rsidRPr="00FA7341">
              <w:rPr>
                <w:rFonts w:ascii="Century Gothic" w:hAnsi="Century Gothic" w:cs="Arial"/>
              </w:rPr>
              <w:t>) meses más contados a partir de la fecha de suscripción del contrato.</w:t>
            </w:r>
          </w:p>
        </w:tc>
      </w:tr>
    </w:tbl>
    <w:tbl>
      <w:tblPr>
        <w:tblStyle w:val="Tablaconcuadrcula"/>
        <w:tblW w:w="0" w:type="auto"/>
        <w:tblLook w:val="04A0" w:firstRow="1" w:lastRow="0" w:firstColumn="1" w:lastColumn="0" w:noHBand="0" w:noVBand="1"/>
      </w:tblPr>
      <w:tblGrid>
        <w:gridCol w:w="2405"/>
        <w:gridCol w:w="2693"/>
        <w:gridCol w:w="3730"/>
      </w:tblGrid>
      <w:tr w:rsidR="00C52C3F" w:rsidRPr="00FA7341" w14:paraId="606B2729" w14:textId="77777777" w:rsidTr="00C52C3F">
        <w:trPr>
          <w:trHeight w:val="1357"/>
        </w:trPr>
        <w:tc>
          <w:tcPr>
            <w:tcW w:w="2405" w:type="dxa"/>
          </w:tcPr>
          <w:p w14:paraId="4432982B" w14:textId="77777777" w:rsidR="00C52C3F" w:rsidRPr="00FA7341" w:rsidRDefault="00C52C3F" w:rsidP="007369E7">
            <w:pPr>
              <w:spacing w:after="0" w:line="240" w:lineRule="auto"/>
              <w:jc w:val="both"/>
              <w:rPr>
                <w:rFonts w:ascii="Century Gothic" w:hAnsi="Century Gothic" w:cs="Arial"/>
              </w:rPr>
            </w:pPr>
          </w:p>
          <w:p w14:paraId="0C92AE56" w14:textId="0D828504" w:rsidR="00C52C3F" w:rsidRPr="00FA7341" w:rsidRDefault="00C52C3F" w:rsidP="007369E7">
            <w:pPr>
              <w:spacing w:after="0" w:line="240" w:lineRule="auto"/>
              <w:jc w:val="both"/>
              <w:rPr>
                <w:rFonts w:ascii="Century Gothic" w:hAnsi="Century Gothic" w:cs="Arial"/>
              </w:rPr>
            </w:pPr>
            <w:r w:rsidRPr="00FA7341">
              <w:rPr>
                <w:rFonts w:ascii="Century Gothic" w:hAnsi="Century Gothic" w:cs="Arial"/>
              </w:rPr>
              <w:t>Pago de Salarios y Prestaciones Sociales</w:t>
            </w:r>
          </w:p>
        </w:tc>
        <w:tc>
          <w:tcPr>
            <w:tcW w:w="2693" w:type="dxa"/>
          </w:tcPr>
          <w:p w14:paraId="7236E2D2" w14:textId="29CA34CD" w:rsidR="00C52C3F" w:rsidRPr="00FA7341" w:rsidRDefault="00C52C3F" w:rsidP="007369E7">
            <w:pPr>
              <w:spacing w:after="0" w:line="240" w:lineRule="auto"/>
              <w:jc w:val="both"/>
              <w:rPr>
                <w:rFonts w:ascii="Century Gothic" w:hAnsi="Century Gothic" w:cs="Arial"/>
              </w:rPr>
            </w:pPr>
            <w:r w:rsidRPr="00FA7341">
              <w:rPr>
                <w:rFonts w:ascii="Century Gothic" w:hAnsi="Century Gothic" w:cs="Arial"/>
              </w:rPr>
              <w:t>10% del valor del contrato</w:t>
            </w:r>
          </w:p>
        </w:tc>
        <w:tc>
          <w:tcPr>
            <w:tcW w:w="3730" w:type="dxa"/>
          </w:tcPr>
          <w:p w14:paraId="3EA87A5D" w14:textId="06A744D3" w:rsidR="00C52C3F" w:rsidRPr="00FA7341" w:rsidRDefault="00C52C3F" w:rsidP="007369E7">
            <w:pPr>
              <w:spacing w:after="0" w:line="240" w:lineRule="auto"/>
              <w:jc w:val="both"/>
              <w:rPr>
                <w:rFonts w:ascii="Century Gothic" w:hAnsi="Century Gothic" w:cs="Arial"/>
              </w:rPr>
            </w:pPr>
            <w:r w:rsidRPr="00FA7341">
              <w:rPr>
                <w:rFonts w:ascii="Century Gothic" w:hAnsi="Century Gothic" w:cs="Arial"/>
              </w:rPr>
              <w:t>Vigente por el plazo de ejecución del contrato y cubrirá el plazo del contrato y tres (3) años mas</w:t>
            </w:r>
          </w:p>
        </w:tc>
      </w:tr>
    </w:tbl>
    <w:p w14:paraId="0904EFC5" w14:textId="77777777" w:rsidR="00C52C3F" w:rsidRPr="00FA7341" w:rsidRDefault="00C52C3F" w:rsidP="007369E7">
      <w:pPr>
        <w:spacing w:after="0" w:line="240" w:lineRule="auto"/>
        <w:jc w:val="both"/>
        <w:rPr>
          <w:rFonts w:ascii="Century Gothic" w:hAnsi="Century Gothic" w:cs="Arial"/>
        </w:rPr>
      </w:pPr>
    </w:p>
    <w:p w14:paraId="51FAD053" w14:textId="77777777" w:rsidR="0036627B" w:rsidRPr="00FA7341" w:rsidRDefault="0036627B" w:rsidP="007369E7">
      <w:pPr>
        <w:spacing w:after="0" w:line="240" w:lineRule="auto"/>
        <w:jc w:val="both"/>
        <w:rPr>
          <w:rFonts w:ascii="Century Gothic" w:hAnsi="Century Gothic" w:cs="Arial"/>
        </w:rPr>
      </w:pPr>
    </w:p>
    <w:p w14:paraId="1D380315" w14:textId="77777777" w:rsidR="0036627B" w:rsidRPr="00FA7341" w:rsidRDefault="0036627B" w:rsidP="007369E7">
      <w:pPr>
        <w:spacing w:after="0" w:line="240" w:lineRule="auto"/>
        <w:jc w:val="both"/>
        <w:rPr>
          <w:rFonts w:ascii="Century Gothic" w:hAnsi="Century Gothic" w:cs="Arial"/>
        </w:rPr>
      </w:pPr>
    </w:p>
    <w:p w14:paraId="1A1D4E27" w14:textId="77777777" w:rsidR="005D79F7" w:rsidRPr="00FA7341" w:rsidRDefault="005D79F7" w:rsidP="009B016D">
      <w:pPr>
        <w:pStyle w:val="Ttulo1"/>
        <w:keepNext w:val="0"/>
        <w:keepLines w:val="0"/>
        <w:widowControl w:val="0"/>
        <w:numPr>
          <w:ilvl w:val="0"/>
          <w:numId w:val="12"/>
        </w:numPr>
        <w:shd w:val="clear" w:color="auto" w:fill="002060"/>
        <w:autoSpaceDE w:val="0"/>
        <w:autoSpaceDN w:val="0"/>
        <w:spacing w:before="0" w:line="240" w:lineRule="auto"/>
        <w:jc w:val="both"/>
        <w:rPr>
          <w:rFonts w:ascii="Century Gothic" w:hAnsi="Century Gothic" w:cs="Arial"/>
          <w:noProof/>
          <w:color w:val="FFFFFF"/>
          <w:sz w:val="22"/>
          <w:szCs w:val="22"/>
          <w:lang w:eastAsia="es-ES"/>
        </w:rPr>
      </w:pPr>
      <w:bookmarkStart w:id="53" w:name="_Toc232673906"/>
      <w:r w:rsidRPr="00FA7341">
        <w:rPr>
          <w:rFonts w:ascii="Century Gothic" w:hAnsi="Century Gothic" w:cs="Arial"/>
          <w:noProof/>
          <w:color w:val="FFFFFF"/>
          <w:sz w:val="22"/>
          <w:szCs w:val="22"/>
          <w:lang w:eastAsia="es-ES"/>
        </w:rPr>
        <w:t>PRESUPUESTO OFICIAL Y SU JUSTIFICACIÓN, VARIABLES UTILIZADAS Y RUBROS QUE LO COMPONEN.</w:t>
      </w:r>
      <w:bookmarkEnd w:id="53"/>
    </w:p>
    <w:p w14:paraId="421118B6" w14:textId="77777777" w:rsidR="00352797" w:rsidRPr="00FA7341" w:rsidRDefault="00352797" w:rsidP="00352797">
      <w:pPr>
        <w:pStyle w:val="Sinespaciado"/>
        <w:jc w:val="both"/>
        <w:rPr>
          <w:rFonts w:ascii="Century Gothic" w:hAnsi="Century Gothic" w:cs="Arial"/>
        </w:rPr>
      </w:pPr>
    </w:p>
    <w:p w14:paraId="097F3920" w14:textId="0427C240" w:rsidR="00063B5A" w:rsidRPr="00FA7341" w:rsidRDefault="00352797" w:rsidP="00352797">
      <w:pPr>
        <w:pStyle w:val="Sinespaciado"/>
        <w:jc w:val="both"/>
        <w:rPr>
          <w:rFonts w:ascii="Century Gothic" w:hAnsi="Century Gothic" w:cs="Arial"/>
        </w:rPr>
      </w:pPr>
      <w:r w:rsidRPr="00FA7341">
        <w:rPr>
          <w:rFonts w:ascii="Century Gothic" w:hAnsi="Century Gothic" w:cs="Arial"/>
        </w:rPr>
        <w:t>El valor del presente contrato es por la suma total de</w:t>
      </w:r>
      <w:r w:rsidR="002E6A8A" w:rsidRPr="00FA7341">
        <w:rPr>
          <w:rFonts w:ascii="Century Gothic" w:hAnsi="Century Gothic" w:cs="Arial"/>
          <w:b/>
          <w:bCs/>
        </w:rPr>
        <w:t xml:space="preserve"> </w:t>
      </w:r>
      <w:r w:rsidR="002E6A8A" w:rsidRPr="00BF563E">
        <w:rPr>
          <w:rFonts w:ascii="Century Gothic" w:hAnsi="Century Gothic" w:cs="Arial"/>
          <w:bCs/>
          <w:highlight w:val="yellow"/>
        </w:rPr>
        <w:t xml:space="preserve">CIENTO </w:t>
      </w:r>
      <w:r w:rsidR="004B0329" w:rsidRPr="00BF563E">
        <w:rPr>
          <w:rFonts w:ascii="Century Gothic" w:hAnsi="Century Gothic" w:cs="Arial"/>
          <w:bCs/>
          <w:highlight w:val="yellow"/>
        </w:rPr>
        <w:t>NOVENTA Y CINCO</w:t>
      </w:r>
      <w:r w:rsidR="002E6A8A" w:rsidRPr="00BF563E">
        <w:rPr>
          <w:rFonts w:ascii="Century Gothic" w:hAnsi="Century Gothic" w:cs="Arial"/>
          <w:bCs/>
          <w:highlight w:val="yellow"/>
        </w:rPr>
        <w:t xml:space="preserve"> MILLONES </w:t>
      </w:r>
      <w:r w:rsidR="004B0329" w:rsidRPr="00BF563E">
        <w:rPr>
          <w:rFonts w:ascii="Century Gothic" w:hAnsi="Century Gothic" w:cs="Arial"/>
          <w:bCs/>
          <w:highlight w:val="yellow"/>
        </w:rPr>
        <w:t>SEISCIENTOS</w:t>
      </w:r>
      <w:r w:rsidR="002E6A8A" w:rsidRPr="00BF563E">
        <w:rPr>
          <w:rFonts w:ascii="Century Gothic" w:hAnsi="Century Gothic" w:cs="Arial"/>
          <w:bCs/>
          <w:highlight w:val="yellow"/>
        </w:rPr>
        <w:t xml:space="preserve"> MIL PESOS M/CTE ($1</w:t>
      </w:r>
      <w:r w:rsidR="004B0329" w:rsidRPr="00BF563E">
        <w:rPr>
          <w:rFonts w:ascii="Century Gothic" w:hAnsi="Century Gothic" w:cs="Arial"/>
          <w:bCs/>
          <w:highlight w:val="yellow"/>
        </w:rPr>
        <w:t>95</w:t>
      </w:r>
      <w:r w:rsidR="002E6A8A" w:rsidRPr="00BF563E">
        <w:rPr>
          <w:rFonts w:ascii="Century Gothic" w:hAnsi="Century Gothic" w:cs="Arial"/>
          <w:bCs/>
          <w:highlight w:val="yellow"/>
        </w:rPr>
        <w:t>.</w:t>
      </w:r>
      <w:r w:rsidR="004B0329" w:rsidRPr="00BF563E">
        <w:rPr>
          <w:rFonts w:ascii="Century Gothic" w:hAnsi="Century Gothic" w:cs="Arial"/>
          <w:bCs/>
          <w:highlight w:val="yellow"/>
        </w:rPr>
        <w:t>600</w:t>
      </w:r>
      <w:r w:rsidR="002E6A8A" w:rsidRPr="00BF563E">
        <w:rPr>
          <w:rFonts w:ascii="Century Gothic" w:hAnsi="Century Gothic" w:cs="Arial"/>
          <w:bCs/>
          <w:highlight w:val="yellow"/>
        </w:rPr>
        <w:t>.</w:t>
      </w:r>
      <w:r w:rsidR="004B0329" w:rsidRPr="00BF563E">
        <w:rPr>
          <w:rFonts w:ascii="Century Gothic" w:hAnsi="Century Gothic" w:cs="Arial"/>
          <w:bCs/>
          <w:highlight w:val="yellow"/>
        </w:rPr>
        <w:t>000</w:t>
      </w:r>
      <w:r w:rsidR="002E6A8A" w:rsidRPr="00BF563E">
        <w:rPr>
          <w:rFonts w:ascii="Century Gothic" w:hAnsi="Century Gothic" w:cs="Arial"/>
          <w:bCs/>
          <w:highlight w:val="yellow"/>
        </w:rPr>
        <w:t>)</w:t>
      </w:r>
      <w:r w:rsidRPr="00BF563E">
        <w:rPr>
          <w:rFonts w:ascii="Century Gothic" w:hAnsi="Century Gothic" w:cs="Arial"/>
          <w:b/>
          <w:bCs/>
          <w:highlight w:val="yellow"/>
        </w:rPr>
        <w:t>,</w:t>
      </w:r>
      <w:r w:rsidRPr="00FA7341">
        <w:rPr>
          <w:rFonts w:ascii="Century Gothic" w:hAnsi="Century Gothic" w:cs="Arial"/>
        </w:rPr>
        <w:t xml:space="preserve"> valor determinado mediante el promedio de los valores unitarios de los ítems cotizados por las 3 personas jurídicas constituidas legalmente</w:t>
      </w:r>
      <w:r w:rsidR="00A06353" w:rsidRPr="00FA7341">
        <w:rPr>
          <w:rFonts w:ascii="Century Gothic" w:hAnsi="Century Gothic" w:cs="Arial"/>
        </w:rPr>
        <w:t>.</w:t>
      </w:r>
    </w:p>
    <w:p w14:paraId="72A056B8" w14:textId="77777777" w:rsidR="00063B5A" w:rsidRPr="00FA7341" w:rsidRDefault="00063B5A" w:rsidP="00352797">
      <w:pPr>
        <w:pStyle w:val="Sinespaciado"/>
        <w:jc w:val="both"/>
        <w:rPr>
          <w:rFonts w:ascii="Century Gothic" w:hAnsi="Century Gothic" w:cs="Arial"/>
        </w:rPr>
      </w:pPr>
    </w:p>
    <w:p w14:paraId="39E890E1" w14:textId="70BF36A5" w:rsidR="00352797" w:rsidRPr="00FA7341" w:rsidRDefault="00352797" w:rsidP="00352797">
      <w:pPr>
        <w:pStyle w:val="Sinespaciado"/>
        <w:jc w:val="both"/>
        <w:rPr>
          <w:rFonts w:ascii="Century Gothic" w:hAnsi="Century Gothic" w:cs="Arial"/>
        </w:rPr>
      </w:pPr>
      <w:r w:rsidRPr="00FA7341">
        <w:rPr>
          <w:rFonts w:ascii="Century Gothic" w:hAnsi="Century Gothic" w:cs="Arial"/>
        </w:rPr>
        <w:t xml:space="preserve">En este valor se encuentran incluidos los gastos en que incurre el contratista en la legalización, ejecución y liquidación (si aplica) del contrato, así como los impuestos, tasas y contribuciones de orden Nacional, Departamental y Distrital a que haya lugar, y demás erogaciones, con cargo a la disponibilidad que para tal efecto </w:t>
      </w:r>
      <w:r w:rsidRPr="00FA7341">
        <w:rPr>
          <w:rFonts w:ascii="Century Gothic" w:hAnsi="Century Gothic" w:cs="Arial"/>
        </w:rPr>
        <w:lastRenderedPageBreak/>
        <w:t xml:space="preserve">expida el </w:t>
      </w:r>
      <w:proofErr w:type="gramStart"/>
      <w:r w:rsidRPr="00FA7341">
        <w:rPr>
          <w:rFonts w:ascii="Century Gothic" w:hAnsi="Century Gothic" w:cs="Arial"/>
        </w:rPr>
        <w:t>Director</w:t>
      </w:r>
      <w:proofErr w:type="gramEnd"/>
      <w:r w:rsidRPr="00FA7341">
        <w:rPr>
          <w:rFonts w:ascii="Century Gothic" w:hAnsi="Century Gothic" w:cs="Arial"/>
        </w:rPr>
        <w:t xml:space="preserve"> Financiero de la Gobernación de Cundinamarca (documento que hace parte integral del presente contrato). </w:t>
      </w:r>
    </w:p>
    <w:p w14:paraId="396591A1" w14:textId="77777777" w:rsidR="00E91CEA" w:rsidRPr="00FA7341" w:rsidRDefault="00E91CEA" w:rsidP="00352797">
      <w:pPr>
        <w:pStyle w:val="Sinespaciado"/>
        <w:jc w:val="both"/>
        <w:rPr>
          <w:rFonts w:ascii="Century Gothic" w:hAnsi="Century Gothic" w:cs="Arial"/>
        </w:rPr>
      </w:pPr>
    </w:p>
    <w:p w14:paraId="306A5373" w14:textId="4759AED2" w:rsidR="00E91CEA" w:rsidRPr="00FA7341" w:rsidRDefault="00E91CEA" w:rsidP="00272255">
      <w:pPr>
        <w:jc w:val="both"/>
        <w:rPr>
          <w:rFonts w:ascii="Century Gothic" w:hAnsi="Century Gothic" w:cs="Arial"/>
        </w:rPr>
      </w:pPr>
      <w:r w:rsidRPr="00FA7341">
        <w:rPr>
          <w:rFonts w:ascii="Century Gothic" w:hAnsi="Century Gothic" w:cs="Arial"/>
        </w:rPr>
        <w:t xml:space="preserve">Con el objeto de determinar el valor del contrato, el Departamento Administrativo de Función Pública de Cundinamarca realizó la Solicitud de Informes a Proveedores, </w:t>
      </w:r>
      <w:r w:rsidRPr="00BF563E">
        <w:rPr>
          <w:rFonts w:ascii="Century Gothic" w:hAnsi="Century Gothic" w:cs="Arial"/>
          <w:highlight w:val="yellow"/>
        </w:rPr>
        <w:t xml:space="preserve">el </w:t>
      </w:r>
      <w:r w:rsidR="00BF563E" w:rsidRPr="00BF563E">
        <w:rPr>
          <w:rFonts w:ascii="Century Gothic" w:hAnsi="Century Gothic" w:cs="Arial"/>
          <w:highlight w:val="yellow"/>
        </w:rPr>
        <w:t>XXX</w:t>
      </w:r>
      <w:r w:rsidRPr="00BF563E">
        <w:rPr>
          <w:rFonts w:ascii="Century Gothic" w:hAnsi="Century Gothic" w:cs="Arial"/>
          <w:highlight w:val="yellow"/>
        </w:rPr>
        <w:t xml:space="preserve"> de</w:t>
      </w:r>
      <w:r w:rsidR="00BF563E">
        <w:rPr>
          <w:rFonts w:ascii="Century Gothic" w:hAnsi="Century Gothic" w:cs="Arial"/>
        </w:rPr>
        <w:t xml:space="preserve"> mayo</w:t>
      </w:r>
      <w:r w:rsidRPr="00FA7341">
        <w:rPr>
          <w:rFonts w:ascii="Century Gothic" w:hAnsi="Century Gothic" w:cs="Arial"/>
        </w:rPr>
        <w:t xml:space="preserve"> 202</w:t>
      </w:r>
      <w:r w:rsidR="004B0329" w:rsidRPr="00FA7341">
        <w:rPr>
          <w:rFonts w:ascii="Century Gothic" w:hAnsi="Century Gothic" w:cs="Arial"/>
        </w:rPr>
        <w:t>6</w:t>
      </w:r>
      <w:r w:rsidRPr="00FA7341">
        <w:rPr>
          <w:rFonts w:ascii="Century Gothic" w:hAnsi="Century Gothic" w:cs="Arial"/>
        </w:rPr>
        <w:t xml:space="preserve">, a través del correo institucional </w:t>
      </w:r>
      <w:r w:rsidR="00BF563E" w:rsidRPr="00BF563E">
        <w:rPr>
          <w:rFonts w:ascii="Century Gothic" w:hAnsi="Century Gothic" w:cs="Arial"/>
          <w:color w:val="0000FF"/>
          <w:highlight w:val="yellow"/>
          <w:u w:val="single"/>
        </w:rPr>
        <w:t>l.gomes@cundinamarca.gov.co</w:t>
      </w:r>
      <w:r w:rsidRPr="00BF563E">
        <w:rPr>
          <w:rFonts w:ascii="Century Gothic" w:hAnsi="Century Gothic" w:cs="Arial"/>
          <w:highlight w:val="yellow"/>
        </w:rPr>
        <w:t>,</w:t>
      </w:r>
      <w:r w:rsidRPr="00FA7341">
        <w:rPr>
          <w:rFonts w:ascii="Century Gothic" w:hAnsi="Century Gothic" w:cs="Arial"/>
        </w:rPr>
        <w:t xml:space="preserve"> al término del cual se presentaron tres (3) cotizaciones, así: </w:t>
      </w:r>
      <w:proofErr w:type="spellStart"/>
      <w:r w:rsidR="00272255" w:rsidRPr="00272255">
        <w:rPr>
          <w:rFonts w:ascii="Century Gothic" w:hAnsi="Century Gothic" w:cs="Arial"/>
        </w:rPr>
        <w:t>Pluxee</w:t>
      </w:r>
      <w:proofErr w:type="spellEnd"/>
      <w:r w:rsidR="00272255" w:rsidRPr="00272255">
        <w:rPr>
          <w:rFonts w:ascii="Century Gothic" w:hAnsi="Century Gothic" w:cs="Arial"/>
        </w:rPr>
        <w:t xml:space="preserve"> Colombia S.A.S</w:t>
      </w:r>
      <w:r w:rsidRPr="00FA7341">
        <w:rPr>
          <w:rFonts w:ascii="Century Gothic" w:hAnsi="Century Gothic" w:cs="Arial"/>
        </w:rPr>
        <w:t>.</w:t>
      </w:r>
      <w:r w:rsidR="004B0329" w:rsidRPr="00FA7341">
        <w:rPr>
          <w:rFonts w:ascii="Century Gothic" w:hAnsi="Century Gothic" w:cs="Arial"/>
        </w:rPr>
        <w:t xml:space="preserve"> </w:t>
      </w:r>
    </w:p>
    <w:p w14:paraId="15F56F5A" w14:textId="60CCB346" w:rsidR="0024006F" w:rsidRPr="00FA7341" w:rsidRDefault="0024006F" w:rsidP="0024006F">
      <w:pPr>
        <w:pStyle w:val="Sinespaciado"/>
        <w:jc w:val="both"/>
        <w:rPr>
          <w:rFonts w:ascii="Century Gothic" w:hAnsi="Century Gothic" w:cs="Arial"/>
        </w:rPr>
      </w:pPr>
      <w:r w:rsidRPr="00FA7341">
        <w:rPr>
          <w:rFonts w:ascii="Century Gothic" w:hAnsi="Century Gothic" w:cs="Arial"/>
        </w:rPr>
        <w:t xml:space="preserve">Una vez hecho el análisis y validando los precios unitarios para cada cotización, se realizó el promedio unitario y posteriormente se realizó la operación con las unidades requeridas para determinar el valor total IVA incluido, </w:t>
      </w:r>
      <w:r w:rsidR="003667C8" w:rsidRPr="00FA7341">
        <w:rPr>
          <w:rFonts w:ascii="Century Gothic" w:hAnsi="Century Gothic" w:cs="Arial"/>
        </w:rPr>
        <w:t>así</w:t>
      </w:r>
      <w:r w:rsidRPr="00FA7341">
        <w:rPr>
          <w:rFonts w:ascii="Century Gothic" w:hAnsi="Century Gothic" w:cs="Arial"/>
        </w:rPr>
        <w:t>.</w:t>
      </w:r>
    </w:p>
    <w:p w14:paraId="21E15FC8" w14:textId="77777777" w:rsidR="003667C8" w:rsidRPr="00FA7341" w:rsidRDefault="003667C8" w:rsidP="0024006F">
      <w:pPr>
        <w:pStyle w:val="Sinespaciado"/>
        <w:jc w:val="both"/>
        <w:rPr>
          <w:rFonts w:ascii="Century Gothic" w:hAnsi="Century Gothic" w:cs="Arial"/>
        </w:rPr>
      </w:pPr>
    </w:p>
    <w:tbl>
      <w:tblPr>
        <w:tblW w:w="0" w:type="auto"/>
        <w:tblCellMar>
          <w:left w:w="70" w:type="dxa"/>
          <w:right w:w="70" w:type="dxa"/>
        </w:tblCellMar>
        <w:tblLook w:val="04A0" w:firstRow="1" w:lastRow="0" w:firstColumn="1" w:lastColumn="0" w:noHBand="0" w:noVBand="1"/>
      </w:tblPr>
      <w:tblGrid>
        <w:gridCol w:w="388"/>
        <w:gridCol w:w="1242"/>
        <w:gridCol w:w="727"/>
        <w:gridCol w:w="583"/>
        <w:gridCol w:w="980"/>
        <w:gridCol w:w="751"/>
        <w:gridCol w:w="751"/>
        <w:gridCol w:w="913"/>
        <w:gridCol w:w="1144"/>
        <w:gridCol w:w="1349"/>
      </w:tblGrid>
      <w:tr w:rsidR="00A014F9" w:rsidRPr="00A014F9" w14:paraId="25C478EA" w14:textId="77777777" w:rsidTr="00A014F9">
        <w:trPr>
          <w:trHeight w:val="9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9E0340"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proofErr w:type="spellStart"/>
            <w:r w:rsidRPr="00A014F9">
              <w:rPr>
                <w:rFonts w:ascii="Arial" w:eastAsia="Times New Roman" w:hAnsi="Arial" w:cs="Arial"/>
                <w:b/>
                <w:bCs/>
                <w:color w:val="000000"/>
                <w:kern w:val="0"/>
                <w:sz w:val="16"/>
                <w:szCs w:val="16"/>
                <w:lang w:eastAsia="es-CO"/>
              </w:rPr>
              <w:t>Item</w:t>
            </w:r>
            <w:proofErr w:type="spellEnd"/>
            <w:r w:rsidRPr="00A014F9">
              <w:rPr>
                <w:rFonts w:ascii="Arial" w:eastAsia="Times New Roman" w:hAnsi="Arial" w:cs="Arial"/>
                <w:b/>
                <w:bCs/>
                <w:color w:val="000000"/>
                <w:kern w:val="0"/>
                <w:sz w:val="16"/>
                <w:szCs w:val="16"/>
                <w:lang w:eastAsia="es-CO"/>
              </w:rPr>
              <w:t xml:space="preserve"> </w:t>
            </w:r>
          </w:p>
        </w:tc>
        <w:tc>
          <w:tcPr>
            <w:tcW w:w="1023" w:type="dxa"/>
            <w:tcBorders>
              <w:top w:val="single" w:sz="4" w:space="0" w:color="auto"/>
              <w:left w:val="nil"/>
              <w:bottom w:val="single" w:sz="4" w:space="0" w:color="auto"/>
              <w:right w:val="single" w:sz="4" w:space="0" w:color="auto"/>
            </w:tcBorders>
            <w:noWrap/>
            <w:vAlign w:val="center"/>
            <w:hideMark/>
          </w:tcPr>
          <w:p w14:paraId="6DEFADED"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Producto</w:t>
            </w:r>
          </w:p>
        </w:tc>
        <w:tc>
          <w:tcPr>
            <w:tcW w:w="917" w:type="dxa"/>
            <w:tcBorders>
              <w:top w:val="single" w:sz="4" w:space="0" w:color="auto"/>
              <w:left w:val="nil"/>
              <w:bottom w:val="single" w:sz="4" w:space="0" w:color="auto"/>
              <w:right w:val="single" w:sz="4" w:space="0" w:color="auto"/>
            </w:tcBorders>
            <w:vAlign w:val="center"/>
            <w:hideMark/>
          </w:tcPr>
          <w:p w14:paraId="1EF04AB8"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VALOR FIJO DEL BONO</w:t>
            </w:r>
          </w:p>
        </w:tc>
        <w:tc>
          <w:tcPr>
            <w:tcW w:w="0" w:type="auto"/>
            <w:tcBorders>
              <w:top w:val="single" w:sz="4" w:space="0" w:color="auto"/>
              <w:left w:val="nil"/>
              <w:bottom w:val="single" w:sz="4" w:space="0" w:color="auto"/>
              <w:right w:val="single" w:sz="4" w:space="0" w:color="auto"/>
            </w:tcBorders>
            <w:vAlign w:val="center"/>
            <w:hideMark/>
          </w:tcPr>
          <w:p w14:paraId="036F44CC"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CANT BONOS</w:t>
            </w:r>
          </w:p>
        </w:tc>
        <w:tc>
          <w:tcPr>
            <w:tcW w:w="0" w:type="auto"/>
            <w:tcBorders>
              <w:top w:val="single" w:sz="4" w:space="0" w:color="auto"/>
              <w:left w:val="nil"/>
              <w:bottom w:val="single" w:sz="4" w:space="0" w:color="auto"/>
              <w:right w:val="single" w:sz="4" w:space="0" w:color="auto"/>
            </w:tcBorders>
            <w:vAlign w:val="center"/>
            <w:hideMark/>
          </w:tcPr>
          <w:p w14:paraId="5EAEF251"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VALOR TOTAL BONOS</w:t>
            </w:r>
          </w:p>
        </w:tc>
        <w:tc>
          <w:tcPr>
            <w:tcW w:w="0" w:type="auto"/>
            <w:tcBorders>
              <w:top w:val="single" w:sz="4" w:space="0" w:color="auto"/>
              <w:left w:val="nil"/>
              <w:bottom w:val="single" w:sz="4" w:space="0" w:color="auto"/>
              <w:right w:val="single" w:sz="4" w:space="0" w:color="auto"/>
            </w:tcBorders>
            <w:vAlign w:val="center"/>
            <w:hideMark/>
          </w:tcPr>
          <w:p w14:paraId="7892EDB5"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 xml:space="preserve">COMISIÓN </w:t>
            </w:r>
          </w:p>
        </w:tc>
        <w:tc>
          <w:tcPr>
            <w:tcW w:w="0" w:type="auto"/>
            <w:tcBorders>
              <w:top w:val="single" w:sz="4" w:space="0" w:color="auto"/>
              <w:left w:val="nil"/>
              <w:bottom w:val="single" w:sz="4" w:space="0" w:color="auto"/>
              <w:right w:val="single" w:sz="4" w:space="0" w:color="auto"/>
            </w:tcBorders>
            <w:vAlign w:val="center"/>
            <w:hideMark/>
          </w:tcPr>
          <w:p w14:paraId="37B62241"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 xml:space="preserve">VALOR COMISIÓN </w:t>
            </w:r>
          </w:p>
        </w:tc>
        <w:tc>
          <w:tcPr>
            <w:tcW w:w="0" w:type="auto"/>
            <w:tcBorders>
              <w:top w:val="single" w:sz="4" w:space="0" w:color="auto"/>
              <w:left w:val="nil"/>
              <w:bottom w:val="single" w:sz="4" w:space="0" w:color="auto"/>
              <w:right w:val="single" w:sz="4" w:space="0" w:color="auto"/>
            </w:tcBorders>
            <w:vAlign w:val="center"/>
            <w:hideMark/>
          </w:tcPr>
          <w:p w14:paraId="614CE7DC"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VALOR TOTAL COMISIÓN</w:t>
            </w:r>
          </w:p>
        </w:tc>
        <w:tc>
          <w:tcPr>
            <w:tcW w:w="0" w:type="auto"/>
            <w:tcBorders>
              <w:top w:val="single" w:sz="4" w:space="0" w:color="auto"/>
              <w:left w:val="nil"/>
              <w:bottom w:val="single" w:sz="4" w:space="0" w:color="auto"/>
              <w:right w:val="single" w:sz="4" w:space="0" w:color="auto"/>
            </w:tcBorders>
            <w:vAlign w:val="center"/>
            <w:hideMark/>
          </w:tcPr>
          <w:p w14:paraId="5E67D15D"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VALOR IVA COMISIÓN</w:t>
            </w:r>
          </w:p>
        </w:tc>
        <w:tc>
          <w:tcPr>
            <w:tcW w:w="0" w:type="auto"/>
            <w:tcBorders>
              <w:top w:val="single" w:sz="4" w:space="0" w:color="auto"/>
              <w:left w:val="nil"/>
              <w:bottom w:val="single" w:sz="4" w:space="0" w:color="auto"/>
              <w:right w:val="single" w:sz="4" w:space="0" w:color="auto"/>
            </w:tcBorders>
            <w:vAlign w:val="center"/>
            <w:hideMark/>
          </w:tcPr>
          <w:p w14:paraId="4FD7D2F2" w14:textId="77777777" w:rsidR="00A014F9" w:rsidRPr="00A014F9" w:rsidRDefault="00A014F9" w:rsidP="00A014F9">
            <w:pPr>
              <w:spacing w:after="0" w:line="240" w:lineRule="auto"/>
              <w:jc w:val="center"/>
              <w:rPr>
                <w:rFonts w:ascii="Arial" w:eastAsia="Times New Roman" w:hAnsi="Arial" w:cs="Arial"/>
                <w:b/>
                <w:bCs/>
                <w:color w:val="000000"/>
                <w:kern w:val="0"/>
                <w:sz w:val="16"/>
                <w:szCs w:val="16"/>
                <w:lang w:eastAsia="es-CO"/>
              </w:rPr>
            </w:pPr>
            <w:r w:rsidRPr="00A014F9">
              <w:rPr>
                <w:rFonts w:ascii="Arial" w:eastAsia="Times New Roman" w:hAnsi="Arial" w:cs="Arial"/>
                <w:b/>
                <w:bCs/>
                <w:color w:val="000000"/>
                <w:kern w:val="0"/>
                <w:sz w:val="16"/>
                <w:szCs w:val="16"/>
                <w:lang w:eastAsia="es-CO"/>
              </w:rPr>
              <w:t>VALOR TOTAL PRESUPUESTO DEL PROCESO</w:t>
            </w:r>
          </w:p>
        </w:tc>
      </w:tr>
      <w:tr w:rsidR="00A014F9" w:rsidRPr="00A014F9" w14:paraId="0F33DE80" w14:textId="77777777" w:rsidTr="00A014F9">
        <w:trPr>
          <w:trHeight w:val="1500"/>
        </w:trPr>
        <w:tc>
          <w:tcPr>
            <w:tcW w:w="0" w:type="auto"/>
            <w:tcBorders>
              <w:top w:val="nil"/>
              <w:left w:val="single" w:sz="4" w:space="0" w:color="auto"/>
              <w:bottom w:val="single" w:sz="4" w:space="0" w:color="auto"/>
              <w:right w:val="single" w:sz="4" w:space="0" w:color="auto"/>
            </w:tcBorders>
            <w:noWrap/>
            <w:vAlign w:val="center"/>
            <w:hideMark/>
          </w:tcPr>
          <w:p w14:paraId="7D5F6B2B"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1</w:t>
            </w:r>
          </w:p>
        </w:tc>
        <w:tc>
          <w:tcPr>
            <w:tcW w:w="1023" w:type="dxa"/>
            <w:tcBorders>
              <w:top w:val="nil"/>
              <w:left w:val="nil"/>
              <w:bottom w:val="single" w:sz="4" w:space="0" w:color="auto"/>
              <w:right w:val="single" w:sz="4" w:space="0" w:color="auto"/>
            </w:tcBorders>
            <w:vAlign w:val="center"/>
            <w:hideMark/>
          </w:tcPr>
          <w:p w14:paraId="509F395F"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BONOS O TARJETAS CANJEABLES EXCLUSIVAMENTE PARA COMPRA DE VESTUARIO Y CALZADO DE LABOR</w:t>
            </w:r>
          </w:p>
        </w:tc>
        <w:tc>
          <w:tcPr>
            <w:tcW w:w="917" w:type="dxa"/>
            <w:tcBorders>
              <w:top w:val="nil"/>
              <w:left w:val="nil"/>
              <w:bottom w:val="single" w:sz="4" w:space="0" w:color="auto"/>
              <w:right w:val="single" w:sz="4" w:space="0" w:color="auto"/>
            </w:tcBorders>
            <w:noWrap/>
            <w:vAlign w:val="center"/>
            <w:hideMark/>
          </w:tcPr>
          <w:p w14:paraId="0768C8F5" w14:textId="77777777" w:rsidR="00A014F9" w:rsidRPr="00A014F9" w:rsidRDefault="00A014F9" w:rsidP="00A014F9">
            <w:pPr>
              <w:spacing w:after="0" w:line="240" w:lineRule="auto"/>
              <w:jc w:val="center"/>
              <w:rPr>
                <w:rFonts w:eastAsia="Times New Roman" w:cs="Calibri"/>
                <w:color w:val="000000"/>
                <w:kern w:val="0"/>
                <w:sz w:val="16"/>
                <w:szCs w:val="16"/>
                <w:lang w:eastAsia="es-CO"/>
              </w:rPr>
            </w:pPr>
            <w:r w:rsidRPr="00A014F9">
              <w:rPr>
                <w:rFonts w:eastAsia="Times New Roman" w:cs="Calibri"/>
                <w:color w:val="000000"/>
                <w:kern w:val="0"/>
                <w:sz w:val="16"/>
                <w:szCs w:val="16"/>
                <w:lang w:eastAsia="es-CO"/>
              </w:rPr>
              <w:t>$ 800.000</w:t>
            </w:r>
          </w:p>
        </w:tc>
        <w:tc>
          <w:tcPr>
            <w:tcW w:w="0" w:type="auto"/>
            <w:tcBorders>
              <w:top w:val="nil"/>
              <w:left w:val="nil"/>
              <w:bottom w:val="single" w:sz="4" w:space="0" w:color="auto"/>
              <w:right w:val="single" w:sz="4" w:space="0" w:color="auto"/>
            </w:tcBorders>
            <w:vAlign w:val="center"/>
            <w:hideMark/>
          </w:tcPr>
          <w:p w14:paraId="59F21181"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 xml:space="preserve">              400 </w:t>
            </w:r>
          </w:p>
        </w:tc>
        <w:tc>
          <w:tcPr>
            <w:tcW w:w="0" w:type="auto"/>
            <w:tcBorders>
              <w:top w:val="nil"/>
              <w:left w:val="nil"/>
              <w:bottom w:val="single" w:sz="4" w:space="0" w:color="auto"/>
              <w:right w:val="single" w:sz="4" w:space="0" w:color="auto"/>
            </w:tcBorders>
            <w:vAlign w:val="center"/>
            <w:hideMark/>
          </w:tcPr>
          <w:p w14:paraId="36966C0A"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 xml:space="preserve"> $ 320.000.000,00 </w:t>
            </w:r>
          </w:p>
        </w:tc>
        <w:tc>
          <w:tcPr>
            <w:tcW w:w="0" w:type="auto"/>
            <w:tcBorders>
              <w:top w:val="nil"/>
              <w:left w:val="nil"/>
              <w:bottom w:val="single" w:sz="4" w:space="0" w:color="auto"/>
              <w:right w:val="single" w:sz="4" w:space="0" w:color="auto"/>
            </w:tcBorders>
            <w:vAlign w:val="center"/>
            <w:hideMark/>
          </w:tcPr>
          <w:p w14:paraId="43BB7DDF"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11,13%</w:t>
            </w:r>
          </w:p>
        </w:tc>
        <w:tc>
          <w:tcPr>
            <w:tcW w:w="0" w:type="auto"/>
            <w:tcBorders>
              <w:top w:val="nil"/>
              <w:left w:val="nil"/>
              <w:bottom w:val="single" w:sz="4" w:space="0" w:color="auto"/>
              <w:right w:val="single" w:sz="4" w:space="0" w:color="auto"/>
            </w:tcBorders>
            <w:vAlign w:val="center"/>
            <w:hideMark/>
          </w:tcPr>
          <w:p w14:paraId="0AD89D5F"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 xml:space="preserve"> $          89.020,00 </w:t>
            </w:r>
          </w:p>
        </w:tc>
        <w:tc>
          <w:tcPr>
            <w:tcW w:w="0" w:type="auto"/>
            <w:tcBorders>
              <w:top w:val="nil"/>
              <w:left w:val="nil"/>
              <w:bottom w:val="single" w:sz="4" w:space="0" w:color="auto"/>
              <w:right w:val="single" w:sz="4" w:space="0" w:color="auto"/>
            </w:tcBorders>
            <w:vAlign w:val="center"/>
            <w:hideMark/>
          </w:tcPr>
          <w:p w14:paraId="3319F252" w14:textId="77777777" w:rsidR="00A014F9" w:rsidRPr="00A014F9" w:rsidRDefault="00A014F9" w:rsidP="00A014F9">
            <w:pPr>
              <w:spacing w:after="0" w:line="240" w:lineRule="auto"/>
              <w:jc w:val="center"/>
              <w:rPr>
                <w:rFonts w:ascii="Arial" w:eastAsia="Times New Roman" w:hAnsi="Arial" w:cs="Arial"/>
                <w:color w:val="000000"/>
                <w:kern w:val="0"/>
                <w:sz w:val="16"/>
                <w:szCs w:val="16"/>
                <w:lang w:eastAsia="es-CO"/>
              </w:rPr>
            </w:pPr>
            <w:r w:rsidRPr="00A014F9">
              <w:rPr>
                <w:rFonts w:ascii="Arial" w:eastAsia="Times New Roman" w:hAnsi="Arial" w:cs="Arial"/>
                <w:color w:val="000000"/>
                <w:kern w:val="0"/>
                <w:sz w:val="16"/>
                <w:szCs w:val="16"/>
                <w:lang w:eastAsia="es-CO"/>
              </w:rPr>
              <w:t xml:space="preserve"> $ 35.608.000,00 </w:t>
            </w:r>
          </w:p>
        </w:tc>
        <w:tc>
          <w:tcPr>
            <w:tcW w:w="0" w:type="auto"/>
            <w:tcBorders>
              <w:top w:val="nil"/>
              <w:left w:val="nil"/>
              <w:bottom w:val="single" w:sz="4" w:space="0" w:color="auto"/>
              <w:right w:val="single" w:sz="4" w:space="0" w:color="auto"/>
            </w:tcBorders>
            <w:noWrap/>
            <w:vAlign w:val="center"/>
            <w:hideMark/>
          </w:tcPr>
          <w:p w14:paraId="0571FF19" w14:textId="77777777" w:rsidR="00A014F9" w:rsidRPr="00A014F9" w:rsidRDefault="00A014F9" w:rsidP="00A014F9">
            <w:pPr>
              <w:spacing w:after="0" w:line="240" w:lineRule="auto"/>
              <w:jc w:val="center"/>
              <w:rPr>
                <w:rFonts w:eastAsia="Times New Roman" w:cs="Calibri"/>
                <w:color w:val="000000"/>
                <w:kern w:val="0"/>
                <w:sz w:val="16"/>
                <w:szCs w:val="16"/>
                <w:lang w:eastAsia="es-CO"/>
              </w:rPr>
            </w:pPr>
            <w:r w:rsidRPr="00A014F9">
              <w:rPr>
                <w:rFonts w:eastAsia="Times New Roman" w:cs="Calibri"/>
                <w:color w:val="000000"/>
                <w:kern w:val="0"/>
                <w:sz w:val="16"/>
                <w:szCs w:val="16"/>
                <w:lang w:eastAsia="es-CO"/>
              </w:rPr>
              <w:t xml:space="preserve"> $          6.765.520,00 </w:t>
            </w:r>
          </w:p>
        </w:tc>
        <w:tc>
          <w:tcPr>
            <w:tcW w:w="0" w:type="auto"/>
            <w:tcBorders>
              <w:top w:val="nil"/>
              <w:left w:val="nil"/>
              <w:bottom w:val="single" w:sz="4" w:space="0" w:color="auto"/>
              <w:right w:val="single" w:sz="4" w:space="0" w:color="auto"/>
            </w:tcBorders>
            <w:noWrap/>
            <w:vAlign w:val="center"/>
            <w:hideMark/>
          </w:tcPr>
          <w:p w14:paraId="01540441" w14:textId="77777777" w:rsidR="00A014F9" w:rsidRPr="00A014F9" w:rsidRDefault="00A014F9" w:rsidP="00A014F9">
            <w:pPr>
              <w:spacing w:after="0" w:line="240" w:lineRule="auto"/>
              <w:jc w:val="center"/>
              <w:rPr>
                <w:rFonts w:eastAsia="Times New Roman" w:cs="Calibri"/>
                <w:color w:val="000000"/>
                <w:kern w:val="0"/>
                <w:sz w:val="16"/>
                <w:szCs w:val="16"/>
                <w:lang w:eastAsia="es-CO"/>
              </w:rPr>
            </w:pPr>
            <w:r w:rsidRPr="00A014F9">
              <w:rPr>
                <w:rFonts w:eastAsia="Times New Roman" w:cs="Calibri"/>
                <w:color w:val="000000"/>
                <w:kern w:val="0"/>
                <w:sz w:val="16"/>
                <w:szCs w:val="16"/>
                <w:lang w:eastAsia="es-CO"/>
              </w:rPr>
              <w:t xml:space="preserve"> $             362.373.520,00 </w:t>
            </w:r>
          </w:p>
        </w:tc>
      </w:tr>
    </w:tbl>
    <w:p w14:paraId="22ACCE47" w14:textId="77777777" w:rsidR="003667C8" w:rsidRPr="00FA7341" w:rsidRDefault="003667C8" w:rsidP="0024006F">
      <w:pPr>
        <w:pStyle w:val="Sinespaciado"/>
        <w:jc w:val="both"/>
        <w:rPr>
          <w:rFonts w:ascii="Century Gothic" w:hAnsi="Century Gothic" w:cs="Arial"/>
        </w:rPr>
      </w:pPr>
    </w:p>
    <w:p w14:paraId="6AEBCE77" w14:textId="77777777" w:rsidR="003667C8" w:rsidRPr="00FA7341" w:rsidRDefault="003667C8" w:rsidP="0024006F">
      <w:pPr>
        <w:pStyle w:val="Sinespaciado"/>
        <w:jc w:val="both"/>
        <w:rPr>
          <w:rFonts w:ascii="Century Gothic" w:hAnsi="Century Gothic" w:cs="Arial"/>
        </w:rPr>
      </w:pPr>
    </w:p>
    <w:p w14:paraId="0BA97921" w14:textId="25D9CAF1" w:rsidR="00141E01" w:rsidRPr="00FA7341" w:rsidRDefault="004E4667" w:rsidP="0024006F">
      <w:pPr>
        <w:pStyle w:val="Sinespaciado"/>
        <w:jc w:val="both"/>
        <w:rPr>
          <w:rFonts w:ascii="Century Gothic" w:hAnsi="Century Gothic" w:cs="Arial"/>
        </w:rPr>
      </w:pPr>
      <w:r w:rsidRPr="00FA7341">
        <w:rPr>
          <w:rFonts w:ascii="Century Gothic" w:hAnsi="Century Gothic" w:cs="Arial"/>
        </w:rPr>
        <w:t xml:space="preserve">De conformidad con lo anterior se </w:t>
      </w:r>
      <w:r w:rsidR="00CC53FE" w:rsidRPr="00FA7341">
        <w:rPr>
          <w:rFonts w:ascii="Century Gothic" w:hAnsi="Century Gothic" w:cs="Arial"/>
        </w:rPr>
        <w:t>determinó</w:t>
      </w:r>
      <w:r w:rsidR="00FA71C4" w:rsidRPr="00FA7341">
        <w:rPr>
          <w:rFonts w:ascii="Century Gothic" w:hAnsi="Century Gothic" w:cs="Arial"/>
        </w:rPr>
        <w:t xml:space="preserve"> que el presupuesto oficial correspondía a la suma de </w:t>
      </w:r>
      <w:r w:rsidR="00FA71C4" w:rsidRPr="00272255">
        <w:rPr>
          <w:rFonts w:ascii="Century Gothic" w:hAnsi="Century Gothic" w:cs="Arial"/>
          <w:highlight w:val="yellow"/>
        </w:rPr>
        <w:t xml:space="preserve">CIENTO </w:t>
      </w:r>
      <w:r w:rsidR="0024006F" w:rsidRPr="00272255">
        <w:rPr>
          <w:rFonts w:ascii="Century Gothic" w:hAnsi="Century Gothic" w:cs="Arial"/>
          <w:highlight w:val="yellow"/>
        </w:rPr>
        <w:t>NOVENTA Y CINCO</w:t>
      </w:r>
      <w:r w:rsidR="00FA71C4" w:rsidRPr="00272255">
        <w:rPr>
          <w:rFonts w:ascii="Century Gothic" w:hAnsi="Century Gothic" w:cs="Arial"/>
          <w:highlight w:val="yellow"/>
        </w:rPr>
        <w:t xml:space="preserve"> MILLONES SE</w:t>
      </w:r>
      <w:r w:rsidR="0024006F" w:rsidRPr="00272255">
        <w:rPr>
          <w:rFonts w:ascii="Century Gothic" w:hAnsi="Century Gothic" w:cs="Arial"/>
          <w:highlight w:val="yellow"/>
        </w:rPr>
        <w:t>IS</w:t>
      </w:r>
      <w:r w:rsidR="00FA71C4" w:rsidRPr="00272255">
        <w:rPr>
          <w:rFonts w:ascii="Century Gothic" w:hAnsi="Century Gothic" w:cs="Arial"/>
          <w:highlight w:val="yellow"/>
        </w:rPr>
        <w:t xml:space="preserve">CIENTOS MIL </w:t>
      </w:r>
      <w:r w:rsidR="00CA5744" w:rsidRPr="00272255">
        <w:rPr>
          <w:rFonts w:ascii="Century Gothic" w:hAnsi="Century Gothic" w:cs="Arial"/>
          <w:highlight w:val="yellow"/>
        </w:rPr>
        <w:t>PESOS M/CTE ($1</w:t>
      </w:r>
      <w:r w:rsidR="0024006F" w:rsidRPr="00272255">
        <w:rPr>
          <w:rFonts w:ascii="Century Gothic" w:hAnsi="Century Gothic" w:cs="Arial"/>
          <w:highlight w:val="yellow"/>
        </w:rPr>
        <w:t>95</w:t>
      </w:r>
      <w:r w:rsidR="00CA5744" w:rsidRPr="00272255">
        <w:rPr>
          <w:rFonts w:ascii="Century Gothic" w:hAnsi="Century Gothic" w:cs="Arial"/>
          <w:highlight w:val="yellow"/>
        </w:rPr>
        <w:t>.</w:t>
      </w:r>
      <w:r w:rsidR="0024006F" w:rsidRPr="00272255">
        <w:rPr>
          <w:rFonts w:ascii="Century Gothic" w:hAnsi="Century Gothic" w:cs="Arial"/>
          <w:highlight w:val="yellow"/>
        </w:rPr>
        <w:t>600</w:t>
      </w:r>
      <w:r w:rsidR="00CA5744" w:rsidRPr="00272255">
        <w:rPr>
          <w:rFonts w:ascii="Century Gothic" w:hAnsi="Century Gothic" w:cs="Arial"/>
          <w:highlight w:val="yellow"/>
        </w:rPr>
        <w:t>.</w:t>
      </w:r>
      <w:r w:rsidR="0024006F" w:rsidRPr="00272255">
        <w:rPr>
          <w:rFonts w:ascii="Century Gothic" w:hAnsi="Century Gothic" w:cs="Arial"/>
          <w:highlight w:val="yellow"/>
        </w:rPr>
        <w:t>000</w:t>
      </w:r>
      <w:r w:rsidR="00CE5DC9" w:rsidRPr="00272255">
        <w:rPr>
          <w:rFonts w:ascii="Century Gothic" w:hAnsi="Century Gothic" w:cs="Arial"/>
          <w:highlight w:val="yellow"/>
        </w:rPr>
        <w:t>).</w:t>
      </w:r>
    </w:p>
    <w:p w14:paraId="3083B040" w14:textId="77777777" w:rsidR="00141E01" w:rsidRPr="00564F61" w:rsidRDefault="00141E01" w:rsidP="007369E7">
      <w:pPr>
        <w:spacing w:after="0" w:line="240" w:lineRule="auto"/>
        <w:jc w:val="both"/>
        <w:rPr>
          <w:rFonts w:ascii="Century Gothic" w:hAnsi="Century Gothic" w:cs="Arial"/>
        </w:rPr>
      </w:pPr>
    </w:p>
    <w:p w14:paraId="5F550E40" w14:textId="77777777" w:rsidR="005D79F7" w:rsidRPr="00564F61" w:rsidRDefault="005D79F7" w:rsidP="009B016D">
      <w:pPr>
        <w:pStyle w:val="Ttulo1"/>
        <w:keepNext w:val="0"/>
        <w:keepLines w:val="0"/>
        <w:widowControl w:val="0"/>
        <w:numPr>
          <w:ilvl w:val="0"/>
          <w:numId w:val="12"/>
        </w:numPr>
        <w:shd w:val="clear" w:color="auto" w:fill="002060"/>
        <w:autoSpaceDE w:val="0"/>
        <w:autoSpaceDN w:val="0"/>
        <w:spacing w:before="0" w:line="240" w:lineRule="auto"/>
        <w:rPr>
          <w:rFonts w:ascii="Century Gothic" w:hAnsi="Century Gothic" w:cs="Arial"/>
          <w:noProof/>
          <w:color w:val="auto"/>
          <w:sz w:val="22"/>
          <w:szCs w:val="22"/>
          <w:highlight w:val="magenta"/>
          <w:lang w:eastAsia="es-ES"/>
        </w:rPr>
      </w:pPr>
      <w:bookmarkStart w:id="54" w:name="_Toc232673907"/>
      <w:r w:rsidRPr="00564F61">
        <w:rPr>
          <w:rFonts w:ascii="Century Gothic" w:hAnsi="Century Gothic" w:cs="Arial"/>
          <w:noProof/>
          <w:color w:val="auto"/>
          <w:sz w:val="22"/>
          <w:szCs w:val="22"/>
          <w:highlight w:val="magenta"/>
          <w:lang w:eastAsia="es-ES"/>
        </w:rPr>
        <w:t>INDICADORES FINANCIEROS Y ORGANIZACIONALES</w:t>
      </w:r>
      <w:bookmarkEnd w:id="54"/>
    </w:p>
    <w:p w14:paraId="2CC2F6F6" w14:textId="77777777" w:rsidR="005C0450" w:rsidRPr="00FA7341" w:rsidRDefault="005C0450" w:rsidP="007369E7">
      <w:pPr>
        <w:tabs>
          <w:tab w:val="left" w:pos="2760"/>
        </w:tabs>
        <w:spacing w:after="0" w:line="240" w:lineRule="auto"/>
        <w:rPr>
          <w:rFonts w:ascii="Century Gothic" w:eastAsia="Batang" w:hAnsi="Century Gothic" w:cs="Arial"/>
        </w:rPr>
      </w:pPr>
    </w:p>
    <w:p w14:paraId="51282C45"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De conformidad con el artículo 2.2.1.1.1.6.2. del Decreto 1082 de 2015, para la determinación de los requisitos habilitantes de las ofertas, la Entidad Estatal debe establecer los requisitos habilitantes en los pliegos de condiciones o en la invitación, teniendo en cuenta: (a) el Riesgo del Proceso de Contratación; (b) el valor del contrato objeto del Proceso de Contratación; (c) el análisis del sector económico respectivo; y (d) el conocimiento de fondo de los posibles oferentes desde la perspectiva comercial. La Entidad Estatal no debe limitarse a la aplicación mecánica de fórmulas financieras para verificar los requisitos habilitantes.</w:t>
      </w:r>
    </w:p>
    <w:p w14:paraId="0D372A96" w14:textId="77777777" w:rsidR="00DA39D0" w:rsidRPr="00FA7341" w:rsidRDefault="00DA39D0" w:rsidP="00DA39D0">
      <w:pPr>
        <w:spacing w:after="0" w:line="240" w:lineRule="auto"/>
        <w:jc w:val="both"/>
        <w:rPr>
          <w:rFonts w:ascii="Century Gothic" w:hAnsi="Century Gothic" w:cs="Arial"/>
          <w:kern w:val="0"/>
        </w:rPr>
      </w:pPr>
    </w:p>
    <w:p w14:paraId="186975F7"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 xml:space="preserve">Conforme a la anterior disposición normativa, la verificación de capacidad financiera y organizacional de las propuestas se efectuará a partir de la información financiera reportada en el Registro Único de Proponente RUP que </w:t>
      </w:r>
      <w:r w:rsidRPr="00FA7341">
        <w:rPr>
          <w:rFonts w:ascii="Century Gothic" w:hAnsi="Century Gothic" w:cs="Arial"/>
          <w:kern w:val="0"/>
        </w:rPr>
        <w:lastRenderedPageBreak/>
        <w:t>debe aportar cada oferente. Será aceptada la información de capacidad financiera y capacidad organizacional que se encuentre renovada, vigente y en firme en el RUP.</w:t>
      </w:r>
    </w:p>
    <w:p w14:paraId="20DF446C" w14:textId="77777777" w:rsidR="00DA39D0" w:rsidRPr="00FA7341" w:rsidRDefault="00DA39D0" w:rsidP="00DA39D0">
      <w:pPr>
        <w:spacing w:after="0" w:line="240" w:lineRule="auto"/>
        <w:jc w:val="both"/>
        <w:rPr>
          <w:rFonts w:ascii="Century Gothic" w:hAnsi="Century Gothic" w:cs="Arial"/>
          <w:kern w:val="0"/>
        </w:rPr>
      </w:pPr>
    </w:p>
    <w:p w14:paraId="3050A5D9"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20F73BAB" w14:textId="77777777" w:rsidR="00DA39D0" w:rsidRPr="00FA7341" w:rsidRDefault="00DA39D0" w:rsidP="00DA39D0">
      <w:pPr>
        <w:spacing w:after="0" w:line="240" w:lineRule="auto"/>
        <w:jc w:val="both"/>
        <w:rPr>
          <w:rFonts w:ascii="Century Gothic" w:hAnsi="Century Gothic" w:cs="Arial"/>
          <w:kern w:val="0"/>
        </w:rPr>
      </w:pPr>
    </w:p>
    <w:p w14:paraId="47B8CDB0"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Toda vez que el decreto 1041 de 2022 que extiendo los efectos del decreto No 579 de 31 de mayo de 2021 de reactivación económica no fue prorrogado, por lo que la entidad evaluará los indicadores financieros, teniendo en cuenta la información del último año vigente y en firme reportada en el RUP.</w:t>
      </w:r>
    </w:p>
    <w:p w14:paraId="17B7A61E" w14:textId="77777777" w:rsidR="00DA39D0" w:rsidRPr="00FA7341" w:rsidRDefault="00DA39D0" w:rsidP="00DA39D0">
      <w:pPr>
        <w:spacing w:after="0" w:line="240" w:lineRule="auto"/>
        <w:jc w:val="both"/>
        <w:rPr>
          <w:rFonts w:ascii="Century Gothic" w:hAnsi="Century Gothic" w:cs="Arial"/>
          <w:kern w:val="0"/>
        </w:rPr>
      </w:pPr>
    </w:p>
    <w:p w14:paraId="7B6C83D1"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Nota 1: El RUP debe renovarse a más tardar el quinto día hábil del mes de abril, de lo contrario cesan sus efectos, por ello al cierre del plazo para presentar ofertas, el RUP debe encontrarse vigente, esto es, que el oferente haya presentado la información para renovar el registro en el término anteriormente establecido.</w:t>
      </w:r>
    </w:p>
    <w:p w14:paraId="0D09EE9A" w14:textId="77777777" w:rsidR="00DA39D0" w:rsidRPr="00FA7341" w:rsidRDefault="00DA39D0" w:rsidP="00DA39D0">
      <w:pPr>
        <w:spacing w:after="0" w:line="240" w:lineRule="auto"/>
        <w:jc w:val="both"/>
        <w:rPr>
          <w:rFonts w:ascii="Century Gothic" w:hAnsi="Century Gothic" w:cs="Arial"/>
          <w:kern w:val="0"/>
        </w:rPr>
      </w:pPr>
    </w:p>
    <w:p w14:paraId="51133F38"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En caso de que el RUP se encuentre en trámite de firmeza, para verificar que los efectos el RUP no han cesado, es necesario que el proponente presente certificado donde acredite que el interesado realizó los trámites necesarios para renovar su registro dentro del término. La información contenida en el RUP, previa a la</w:t>
      </w:r>
      <w:r w:rsidRPr="00FA7341">
        <w:rPr>
          <w:rFonts w:ascii="Century Gothic" w:eastAsia="Batang" w:hAnsi="Century Gothic" w:cs="Arial"/>
          <w:sz w:val="24"/>
          <w:szCs w:val="24"/>
        </w:rPr>
        <w:t xml:space="preserve"> </w:t>
      </w:r>
      <w:r w:rsidRPr="00FA7341">
        <w:rPr>
          <w:rFonts w:ascii="Century Gothic" w:hAnsi="Century Gothic" w:cs="Arial"/>
          <w:kern w:val="0"/>
        </w:rPr>
        <w:t>suministrada para renovar el registro, continúa en firme hasta que finalice el trámite de renovación correspondiente.</w:t>
      </w:r>
    </w:p>
    <w:p w14:paraId="6A6D26CD" w14:textId="77777777" w:rsidR="00DA39D0" w:rsidRPr="00FA7341" w:rsidRDefault="00DA39D0" w:rsidP="00DA39D0">
      <w:pPr>
        <w:spacing w:after="0" w:line="240" w:lineRule="auto"/>
        <w:jc w:val="both"/>
        <w:rPr>
          <w:rFonts w:ascii="Century Gothic" w:hAnsi="Century Gothic" w:cs="Arial"/>
          <w:kern w:val="0"/>
        </w:rPr>
      </w:pPr>
    </w:p>
    <w:p w14:paraId="7876700B"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De acuerdo con el Manual para determinar y verificar los requisitos habilitantes en los Procesos de Contratación de Colombia Compra Eficiente, como quiera que en este proceso de selección no existe una relación de dependencia fuerte entre cada indicador requerido y la ejecución del contrato, EL DEPARTAMENTO DE CUNDINAMARCA tomo la precaución pertinente para no excluir posibles proponentes que aunque, para un indicador específico tengan un peor desempeño que el promedio de su sector, estén en capacidad de participar en el Proceso de Contratación y cumplir con el objeto del contrato. Para ello, la Entidad Estatal fijó límites más flexibles dados por el comportamiento del sector económico estudiando, por ejemplo, los valores máximos y mínimos del indicador para las empresas objeto de análisis.</w:t>
      </w:r>
    </w:p>
    <w:p w14:paraId="72B55393" w14:textId="77777777" w:rsidR="00DA39D0" w:rsidRPr="00FA7341" w:rsidRDefault="00DA39D0" w:rsidP="00DA39D0">
      <w:pPr>
        <w:spacing w:after="0" w:line="240" w:lineRule="auto"/>
        <w:jc w:val="both"/>
        <w:rPr>
          <w:rFonts w:ascii="Century Gothic" w:hAnsi="Century Gothic" w:cs="Arial"/>
          <w:kern w:val="0"/>
        </w:rPr>
      </w:pPr>
    </w:p>
    <w:p w14:paraId="315418BA"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Las definiciones para los indicadores de Capacidad Financiera y Organizacional son las siguientes:</w:t>
      </w:r>
    </w:p>
    <w:p w14:paraId="024567D3" w14:textId="77777777" w:rsidR="00DA39D0" w:rsidRPr="00FA7341" w:rsidRDefault="00DA39D0" w:rsidP="00DA39D0">
      <w:pPr>
        <w:spacing w:after="0" w:line="240" w:lineRule="auto"/>
        <w:jc w:val="both"/>
        <w:rPr>
          <w:rFonts w:ascii="Century Gothic" w:hAnsi="Century Gothic" w:cs="Arial"/>
          <w:kern w:val="0"/>
        </w:rPr>
      </w:pPr>
    </w:p>
    <w:p w14:paraId="3BACAB5F" w14:textId="77777777" w:rsidR="00DA39D0" w:rsidRPr="00FA7341" w:rsidRDefault="00DA39D0" w:rsidP="00DA39D0">
      <w:pPr>
        <w:numPr>
          <w:ilvl w:val="0"/>
          <w:numId w:val="8"/>
        </w:numPr>
        <w:spacing w:after="0" w:line="240" w:lineRule="auto"/>
        <w:jc w:val="both"/>
        <w:rPr>
          <w:rFonts w:ascii="Century Gothic" w:hAnsi="Century Gothic" w:cs="Arial"/>
          <w:kern w:val="0"/>
        </w:rPr>
      </w:pPr>
      <w:r w:rsidRPr="00FA7341">
        <w:rPr>
          <w:rFonts w:ascii="Century Gothic" w:hAnsi="Century Gothic" w:cs="Arial"/>
          <w:kern w:val="0"/>
        </w:rPr>
        <w:lastRenderedPageBreak/>
        <w:t>Índice de Liquidez. Activo Corriente / Pasivo Corriente, el cual determina la capacidad que tiene un proponente para cumplir con sus obligaciones de corto plazo. A mayor índice de liquidez, menor es la probabilidad de que el proponente incumpla sus obligaciones de corto plazo.</w:t>
      </w:r>
    </w:p>
    <w:p w14:paraId="6A372B4F" w14:textId="77777777" w:rsidR="00DA39D0" w:rsidRPr="00FA7341" w:rsidRDefault="00DA39D0" w:rsidP="00DA39D0">
      <w:pPr>
        <w:numPr>
          <w:ilvl w:val="0"/>
          <w:numId w:val="8"/>
        </w:numPr>
        <w:spacing w:after="0" w:line="240" w:lineRule="auto"/>
        <w:jc w:val="both"/>
        <w:rPr>
          <w:rFonts w:ascii="Century Gothic" w:hAnsi="Century Gothic" w:cs="Arial"/>
          <w:kern w:val="0"/>
        </w:rPr>
      </w:pPr>
      <w:r w:rsidRPr="00FA7341">
        <w:rPr>
          <w:rFonts w:ascii="Century Gothic" w:hAnsi="Century Gothic" w:cs="Arial"/>
          <w:kern w:val="0"/>
        </w:rPr>
        <w:t>Índice de Endeudamiento. Pasivo Total / Activo Total, el cual determina el grado de endeudamiento en la estructura de financiación (pasivos y patrimonio) del proponente. A mayor índice de endeudamiento, mayor es la probabilidad del proponente de no poder cumplir con sus pasivos.</w:t>
      </w:r>
    </w:p>
    <w:p w14:paraId="618577B3" w14:textId="77777777" w:rsidR="00DA39D0" w:rsidRPr="00FA7341" w:rsidRDefault="00DA39D0" w:rsidP="00DA39D0">
      <w:pPr>
        <w:numPr>
          <w:ilvl w:val="0"/>
          <w:numId w:val="8"/>
        </w:numPr>
        <w:spacing w:after="0" w:line="240" w:lineRule="auto"/>
        <w:jc w:val="both"/>
        <w:rPr>
          <w:rFonts w:ascii="Century Gothic" w:hAnsi="Century Gothic" w:cs="Arial"/>
          <w:kern w:val="0"/>
        </w:rPr>
      </w:pPr>
      <w:r w:rsidRPr="00FA7341">
        <w:rPr>
          <w:rFonts w:ascii="Century Gothic" w:hAnsi="Century Gothic" w:cs="Arial"/>
          <w:kern w:val="0"/>
        </w:rPr>
        <w:t>Razón de Cobertura de Intereses. Utilidad Operacional / Gastos de Intereses, el cual refleja la capacidad del proponente de cumplir con sus obligaciones financieras. A mayor cobertura de intereses, menor es la probabilidad de que el proponente incumpla sus obligaciones financieras.</w:t>
      </w:r>
    </w:p>
    <w:p w14:paraId="584DED7C" w14:textId="77777777" w:rsidR="00DA39D0" w:rsidRPr="00FA7341" w:rsidRDefault="00DA39D0" w:rsidP="00DA39D0">
      <w:pPr>
        <w:numPr>
          <w:ilvl w:val="0"/>
          <w:numId w:val="8"/>
        </w:numPr>
        <w:spacing w:after="0" w:line="240" w:lineRule="auto"/>
        <w:jc w:val="both"/>
        <w:rPr>
          <w:rFonts w:ascii="Century Gothic" w:hAnsi="Century Gothic" w:cs="Arial"/>
          <w:kern w:val="0"/>
        </w:rPr>
      </w:pPr>
      <w:r w:rsidRPr="00FA7341">
        <w:rPr>
          <w:rFonts w:ascii="Century Gothic" w:hAnsi="Century Gothic" w:cs="Arial"/>
          <w:kern w:val="0"/>
        </w:rPr>
        <w:t>Capital de Trabajo: Activo Corriente – Pasivo Corriente, el cual refleja el dinero disponible para cumplir con sus obligaciones actuales a corto plazo.</w:t>
      </w:r>
    </w:p>
    <w:p w14:paraId="409C979F" w14:textId="77777777" w:rsidR="00DA39D0" w:rsidRPr="00FA7341" w:rsidRDefault="00DA39D0" w:rsidP="00DA39D0">
      <w:pPr>
        <w:numPr>
          <w:ilvl w:val="0"/>
          <w:numId w:val="8"/>
        </w:numPr>
        <w:spacing w:after="0" w:line="240" w:lineRule="auto"/>
        <w:jc w:val="both"/>
        <w:rPr>
          <w:rFonts w:ascii="Century Gothic" w:hAnsi="Century Gothic" w:cs="Arial"/>
          <w:kern w:val="0"/>
        </w:rPr>
      </w:pPr>
      <w:r w:rsidRPr="00FA7341">
        <w:rPr>
          <w:rFonts w:ascii="Century Gothic" w:hAnsi="Century Gothic" w:cs="Arial"/>
          <w:kern w:val="0"/>
        </w:rPr>
        <w:t>Rentabilidad del Patrimonio. Utilidad Operacional / Patrimonio, el cual 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p w14:paraId="3181223F" w14:textId="77777777" w:rsidR="00660911" w:rsidRPr="00FA7341" w:rsidRDefault="00DA39D0" w:rsidP="00660911">
      <w:pPr>
        <w:numPr>
          <w:ilvl w:val="0"/>
          <w:numId w:val="8"/>
        </w:numPr>
        <w:spacing w:after="0" w:line="240" w:lineRule="auto"/>
        <w:jc w:val="both"/>
        <w:rPr>
          <w:rFonts w:ascii="Century Gothic" w:hAnsi="Century Gothic" w:cs="Arial"/>
          <w:noProof/>
          <w:color w:val="FFFFFF"/>
          <w:sz w:val="24"/>
          <w:szCs w:val="24"/>
          <w:lang w:eastAsia="es-ES"/>
        </w:rPr>
      </w:pPr>
      <w:r w:rsidRPr="00FA7341">
        <w:rPr>
          <w:rFonts w:ascii="Century Gothic" w:hAnsi="Century Gothic" w:cs="Arial"/>
          <w:kern w:val="0"/>
        </w:rPr>
        <w:t xml:space="preserve">Rentabilidad del Activo. Utilidad Operacional / Activo Total, el cual determina la rentabilidad de los activos del proponente, es decir, la capacidad de generación de utilidad operacional por cada peso invertido en el activo. </w:t>
      </w:r>
    </w:p>
    <w:p w14:paraId="3C18059E" w14:textId="3CBCC93E" w:rsidR="00DA39D0" w:rsidRPr="00FA7341" w:rsidRDefault="00DA39D0" w:rsidP="00660911">
      <w:pPr>
        <w:numPr>
          <w:ilvl w:val="0"/>
          <w:numId w:val="8"/>
        </w:numPr>
        <w:spacing w:after="0" w:line="240" w:lineRule="auto"/>
        <w:jc w:val="both"/>
        <w:rPr>
          <w:rFonts w:ascii="Century Gothic" w:hAnsi="Century Gothic" w:cs="Arial"/>
          <w:noProof/>
          <w:color w:val="FFFFFF"/>
          <w:sz w:val="24"/>
          <w:szCs w:val="24"/>
          <w:lang w:eastAsia="es-ES"/>
        </w:rPr>
      </w:pPr>
      <w:r w:rsidRPr="00FA7341">
        <w:rPr>
          <w:rFonts w:ascii="Century Gothic" w:hAnsi="Century Gothic" w:cs="Arial"/>
          <w:noProof/>
          <w:color w:val="FFFFFF"/>
          <w:sz w:val="24"/>
          <w:szCs w:val="24"/>
          <w:lang w:eastAsia="es-ES"/>
        </w:rPr>
        <w:t>Indicadores Financieros</w:t>
      </w:r>
    </w:p>
    <w:p w14:paraId="053D5883"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Para llegar al planteamiento de los indicadores se tienen en cuenta los indicadores de capacidad financiera y capacidad organizacional propuestos por Colombia Compra Eficiente en su “Manual para determinar y verificar los requisitos habilitantes en el proceso de contratación”.</w:t>
      </w:r>
    </w:p>
    <w:p w14:paraId="1D795DDA" w14:textId="77777777" w:rsidR="00DA39D0" w:rsidRPr="00FA7341" w:rsidRDefault="00DA39D0" w:rsidP="00DA39D0">
      <w:pPr>
        <w:spacing w:after="0" w:line="240" w:lineRule="auto"/>
        <w:jc w:val="both"/>
        <w:rPr>
          <w:rFonts w:ascii="Century Gothic" w:hAnsi="Century Gothic" w:cs="Arial"/>
          <w:kern w:val="0"/>
        </w:rPr>
      </w:pPr>
    </w:p>
    <w:p w14:paraId="54124560"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 xml:space="preserve">Adicionalmente, se analiza la información financiera de las empresas requeridas para la invitación, a nivel nacional, con base en la información capturada de la página de la Superintendencia de Sociedades en el portal de información empresarial, en el link http://pie.supersociedades.gov.co/Pages/default.aspx#/informacionFinanciera, del cual se puede obtener los Estados Financieros a corte del </w:t>
      </w:r>
      <w:r w:rsidRPr="00DF7F99">
        <w:rPr>
          <w:rFonts w:ascii="Century Gothic" w:hAnsi="Century Gothic" w:cs="Arial"/>
          <w:kern w:val="0"/>
          <w:highlight w:val="yellow"/>
        </w:rPr>
        <w:t>31 de diciembre de 2022</w:t>
      </w:r>
      <w:r w:rsidRPr="00FA7341">
        <w:rPr>
          <w:rFonts w:ascii="Century Gothic" w:hAnsi="Century Gothic" w:cs="Arial"/>
          <w:kern w:val="0"/>
        </w:rPr>
        <w:t>, de las empresas que reportan la información a dicha entidad, la cual se clasifica en 4 tipos de reportes:</w:t>
      </w:r>
    </w:p>
    <w:p w14:paraId="5BFC51DF" w14:textId="77777777" w:rsidR="00DA39D0" w:rsidRPr="00FA7341" w:rsidRDefault="00DA39D0" w:rsidP="00DA39D0">
      <w:pPr>
        <w:spacing w:after="0" w:line="240" w:lineRule="auto"/>
        <w:jc w:val="both"/>
        <w:rPr>
          <w:rFonts w:ascii="Century Gothic" w:hAnsi="Century Gothic" w:cs="Arial"/>
          <w:kern w:val="0"/>
        </w:rPr>
      </w:pPr>
    </w:p>
    <w:p w14:paraId="79DDC002" w14:textId="77777777" w:rsidR="00DA39D0" w:rsidRPr="00FA7341" w:rsidRDefault="00DA39D0" w:rsidP="00DA39D0">
      <w:pPr>
        <w:numPr>
          <w:ilvl w:val="0"/>
          <w:numId w:val="7"/>
        </w:numPr>
        <w:spacing w:after="0" w:line="240" w:lineRule="auto"/>
        <w:jc w:val="both"/>
        <w:rPr>
          <w:rFonts w:ascii="Century Gothic" w:hAnsi="Century Gothic" w:cs="Arial"/>
          <w:kern w:val="0"/>
        </w:rPr>
      </w:pPr>
      <w:r w:rsidRPr="00FA7341">
        <w:rPr>
          <w:rFonts w:ascii="Century Gothic" w:hAnsi="Century Gothic" w:cs="Arial"/>
          <w:kern w:val="0"/>
        </w:rPr>
        <w:t>NIIF Plenas Individuales: Serán preparados solo para entidades que no tienen relación de inversión con otras organizaciones en la cuales tenga la condición de asociada, negocio conjunto o controladora.</w:t>
      </w:r>
    </w:p>
    <w:p w14:paraId="4B1C116D" w14:textId="77777777" w:rsidR="00DA39D0" w:rsidRPr="00FA7341" w:rsidRDefault="00DA39D0" w:rsidP="00DA39D0">
      <w:pPr>
        <w:spacing w:after="0" w:line="240" w:lineRule="auto"/>
        <w:ind w:left="720"/>
        <w:jc w:val="both"/>
        <w:rPr>
          <w:rFonts w:ascii="Century Gothic" w:hAnsi="Century Gothic" w:cs="Arial"/>
          <w:kern w:val="0"/>
        </w:rPr>
      </w:pPr>
    </w:p>
    <w:p w14:paraId="0ED55074" w14:textId="77777777" w:rsidR="00DA39D0" w:rsidRPr="00FA7341" w:rsidRDefault="00DA39D0" w:rsidP="00DA39D0">
      <w:pPr>
        <w:numPr>
          <w:ilvl w:val="0"/>
          <w:numId w:val="7"/>
        </w:numPr>
        <w:spacing w:after="0" w:line="240" w:lineRule="auto"/>
        <w:jc w:val="both"/>
        <w:rPr>
          <w:rFonts w:ascii="Century Gothic" w:hAnsi="Century Gothic" w:cs="Arial"/>
          <w:kern w:val="0"/>
        </w:rPr>
      </w:pPr>
      <w:r w:rsidRPr="00FA7341">
        <w:rPr>
          <w:rFonts w:ascii="Century Gothic" w:hAnsi="Century Gothic" w:cs="Arial"/>
          <w:kern w:val="0"/>
        </w:rPr>
        <w:t>NIIF Plenas Separadas: Pueden elaborarse por parte de las empresas o entidades obligadas a consolidar. habrá que presentar Estados Financieros separados para poder conciliar con la declaración de renta.</w:t>
      </w:r>
    </w:p>
    <w:p w14:paraId="287C1B0E" w14:textId="77777777" w:rsidR="00DA39D0" w:rsidRPr="00FA7341" w:rsidRDefault="00DA39D0" w:rsidP="00DA39D0">
      <w:pPr>
        <w:spacing w:after="0" w:line="240" w:lineRule="auto"/>
        <w:ind w:left="720"/>
        <w:jc w:val="both"/>
        <w:rPr>
          <w:rFonts w:ascii="Century Gothic" w:hAnsi="Century Gothic" w:cs="Arial"/>
          <w:kern w:val="0"/>
        </w:rPr>
      </w:pPr>
    </w:p>
    <w:p w14:paraId="3C26A24E" w14:textId="77777777" w:rsidR="00DA39D0" w:rsidRPr="00FA7341" w:rsidRDefault="00DA39D0" w:rsidP="00DA39D0">
      <w:pPr>
        <w:numPr>
          <w:ilvl w:val="0"/>
          <w:numId w:val="7"/>
        </w:numPr>
        <w:spacing w:after="0" w:line="240" w:lineRule="auto"/>
        <w:jc w:val="both"/>
        <w:rPr>
          <w:rFonts w:ascii="Century Gothic" w:hAnsi="Century Gothic" w:cs="Arial"/>
          <w:kern w:val="0"/>
        </w:rPr>
      </w:pPr>
      <w:r w:rsidRPr="00FA7341">
        <w:rPr>
          <w:rFonts w:ascii="Century Gothic" w:hAnsi="Century Gothic" w:cs="Arial"/>
          <w:kern w:val="0"/>
        </w:rPr>
        <w:t>NIIF pymes individuales y</w:t>
      </w:r>
    </w:p>
    <w:p w14:paraId="312D6959" w14:textId="77777777" w:rsidR="00DA39D0" w:rsidRPr="00FA7341" w:rsidRDefault="00DA39D0" w:rsidP="00DA39D0">
      <w:pPr>
        <w:spacing w:after="0" w:line="240" w:lineRule="auto"/>
        <w:ind w:left="720"/>
        <w:jc w:val="both"/>
        <w:rPr>
          <w:rFonts w:ascii="Century Gothic" w:hAnsi="Century Gothic" w:cs="Arial"/>
          <w:kern w:val="0"/>
        </w:rPr>
      </w:pPr>
    </w:p>
    <w:p w14:paraId="362F3B19" w14:textId="77777777" w:rsidR="00DA39D0" w:rsidRPr="00FA7341" w:rsidRDefault="00DA39D0" w:rsidP="00DA39D0">
      <w:pPr>
        <w:numPr>
          <w:ilvl w:val="0"/>
          <w:numId w:val="7"/>
        </w:numPr>
        <w:spacing w:after="0" w:line="240" w:lineRule="auto"/>
        <w:jc w:val="both"/>
        <w:rPr>
          <w:rFonts w:ascii="Century Gothic" w:hAnsi="Century Gothic" w:cs="Arial"/>
          <w:kern w:val="0"/>
        </w:rPr>
      </w:pPr>
      <w:r w:rsidRPr="00FA7341">
        <w:rPr>
          <w:rFonts w:ascii="Century Gothic" w:hAnsi="Century Gothic" w:cs="Arial"/>
          <w:kern w:val="0"/>
        </w:rPr>
        <w:t>NIIF Pymes Separadas: Se comportan igual que las plenas, pero hace referencia a las pequeñas y medianas empresas.</w:t>
      </w:r>
    </w:p>
    <w:p w14:paraId="4CFAF7A9" w14:textId="77777777" w:rsidR="00DA39D0" w:rsidRPr="00FA7341" w:rsidRDefault="00DA39D0" w:rsidP="00DA39D0">
      <w:pPr>
        <w:spacing w:after="0" w:line="240" w:lineRule="auto"/>
        <w:jc w:val="both"/>
        <w:rPr>
          <w:rFonts w:ascii="Century Gothic" w:hAnsi="Century Gothic" w:cs="Arial"/>
          <w:kern w:val="0"/>
        </w:rPr>
      </w:pPr>
    </w:p>
    <w:p w14:paraId="52FBF678" w14:textId="77777777" w:rsidR="00DA39D0" w:rsidRPr="00FA7341" w:rsidRDefault="00DA39D0" w:rsidP="00DA39D0">
      <w:pPr>
        <w:spacing w:after="0" w:line="240" w:lineRule="auto"/>
        <w:jc w:val="both"/>
        <w:rPr>
          <w:rFonts w:ascii="Century Gothic" w:hAnsi="Century Gothic" w:cs="Arial"/>
          <w:kern w:val="0"/>
        </w:rPr>
      </w:pPr>
      <w:r w:rsidRPr="00FA7341">
        <w:rPr>
          <w:rFonts w:ascii="Century Gothic" w:hAnsi="Century Gothic" w:cs="Arial"/>
          <w:kern w:val="0"/>
        </w:rPr>
        <w:t>Una vez descargada y consolidada la información, se filtraron los datos de acuerdo con el Código de Clasificación Industrial Internacional Uniforme - CIIU que contenía información relacionada con actividades de equipo informático y accesorios, software, servicios informáticos y componentes para tecnología de la información, difusión o telecomunicaciones, de tal manera que el código sujeto a análisis es:</w:t>
      </w:r>
    </w:p>
    <w:p w14:paraId="272B3EE6" w14:textId="77777777" w:rsidR="00DA39D0" w:rsidRPr="00FA7341" w:rsidRDefault="00DA39D0" w:rsidP="00DA39D0">
      <w:pPr>
        <w:spacing w:after="0" w:line="240" w:lineRule="auto"/>
        <w:jc w:val="both"/>
        <w:rPr>
          <w:rFonts w:ascii="Century Gothic" w:hAnsi="Century Gothic" w:cs="Arial"/>
          <w:kern w:val="0"/>
        </w:rPr>
      </w:pPr>
    </w:p>
    <w:p w14:paraId="4118C736" w14:textId="42C3AFD7" w:rsidR="00DA39D0" w:rsidRPr="00FA7341" w:rsidRDefault="00DA39D0" w:rsidP="00DA39D0">
      <w:pPr>
        <w:autoSpaceDE w:val="0"/>
        <w:autoSpaceDN w:val="0"/>
        <w:jc w:val="both"/>
        <w:rPr>
          <w:rFonts w:ascii="Century Gothic" w:hAnsi="Century Gothic" w:cs="Arial"/>
          <w:kern w:val="0"/>
        </w:rPr>
      </w:pPr>
      <w:r w:rsidRPr="00FA7341">
        <w:rPr>
          <w:rFonts w:ascii="Century Gothic" w:hAnsi="Century Gothic" w:cs="Arial"/>
          <w:kern w:val="0"/>
        </w:rPr>
        <w:t xml:space="preserve">Con base en </w:t>
      </w:r>
      <w:r w:rsidR="00CC53FE" w:rsidRPr="00FA7341">
        <w:rPr>
          <w:rFonts w:ascii="Century Gothic" w:hAnsi="Century Gothic" w:cs="Arial"/>
          <w:kern w:val="0"/>
        </w:rPr>
        <w:t>los siguientes códigos</w:t>
      </w:r>
      <w:r w:rsidRPr="00FA7341">
        <w:rPr>
          <w:rFonts w:ascii="Century Gothic" w:hAnsi="Century Gothic" w:cs="Arial"/>
          <w:kern w:val="0"/>
        </w:rPr>
        <w:t xml:space="preserve"> CIIU:</w:t>
      </w:r>
    </w:p>
    <w:p w14:paraId="7D9E8B28" w14:textId="5DFF8BEB" w:rsidR="00230808" w:rsidRPr="00FA7341" w:rsidRDefault="00A014F9" w:rsidP="00230808">
      <w:pPr>
        <w:pStyle w:val="Prrafodelista"/>
        <w:numPr>
          <w:ilvl w:val="0"/>
          <w:numId w:val="22"/>
        </w:numPr>
        <w:autoSpaceDE w:val="0"/>
        <w:autoSpaceDN w:val="0"/>
        <w:jc w:val="both"/>
        <w:rPr>
          <w:rFonts w:ascii="Century Gothic" w:hAnsi="Century Gothic" w:cs="Arial"/>
          <w:kern w:val="0"/>
        </w:rPr>
      </w:pPr>
      <w:r>
        <w:rPr>
          <w:rFonts w:ascii="Century Gothic" w:hAnsi="Century Gothic" w:cs="Arial"/>
          <w:kern w:val="0"/>
        </w:rPr>
        <w:t>8299</w:t>
      </w:r>
      <w:r w:rsidR="00230808" w:rsidRPr="00FA7341">
        <w:rPr>
          <w:rFonts w:ascii="Century Gothic" w:hAnsi="Century Gothic" w:cs="Arial"/>
          <w:kern w:val="0"/>
        </w:rPr>
        <w:t xml:space="preserve"> </w:t>
      </w:r>
    </w:p>
    <w:p w14:paraId="464D818E" w14:textId="0CDEA5D0" w:rsidR="00230808" w:rsidRPr="00FA7341" w:rsidRDefault="00A014F9" w:rsidP="00230808">
      <w:pPr>
        <w:pStyle w:val="Prrafodelista"/>
        <w:numPr>
          <w:ilvl w:val="0"/>
          <w:numId w:val="22"/>
        </w:numPr>
        <w:autoSpaceDE w:val="0"/>
        <w:autoSpaceDN w:val="0"/>
        <w:jc w:val="both"/>
        <w:rPr>
          <w:rFonts w:ascii="Century Gothic" w:hAnsi="Century Gothic" w:cs="Arial"/>
          <w:kern w:val="0"/>
        </w:rPr>
      </w:pPr>
      <w:r>
        <w:rPr>
          <w:rFonts w:ascii="Century Gothic" w:hAnsi="Century Gothic" w:cs="Arial"/>
          <w:kern w:val="0"/>
        </w:rPr>
        <w:t>4610</w:t>
      </w:r>
      <w:r w:rsidR="00230808" w:rsidRPr="00FA7341">
        <w:rPr>
          <w:rFonts w:ascii="Century Gothic" w:hAnsi="Century Gothic" w:cs="Arial"/>
          <w:kern w:val="0"/>
        </w:rPr>
        <w:t xml:space="preserve"> </w:t>
      </w:r>
    </w:p>
    <w:p w14:paraId="31CE99B6" w14:textId="6174AF5C" w:rsidR="00DA39D0" w:rsidRPr="00A014F9" w:rsidRDefault="00A014F9" w:rsidP="00A014F9">
      <w:pPr>
        <w:pStyle w:val="Prrafodelista"/>
        <w:numPr>
          <w:ilvl w:val="0"/>
          <w:numId w:val="22"/>
        </w:numPr>
        <w:autoSpaceDE w:val="0"/>
        <w:autoSpaceDN w:val="0"/>
        <w:jc w:val="both"/>
        <w:rPr>
          <w:rFonts w:ascii="Century Gothic" w:hAnsi="Century Gothic" w:cs="Arial"/>
          <w:kern w:val="0"/>
        </w:rPr>
      </w:pPr>
      <w:r>
        <w:rPr>
          <w:rFonts w:ascii="Century Gothic" w:hAnsi="Century Gothic" w:cs="Arial"/>
          <w:kern w:val="0"/>
        </w:rPr>
        <w:t>6209</w:t>
      </w:r>
    </w:p>
    <w:p w14:paraId="5C29DCA5" w14:textId="77777777" w:rsidR="00A014F9" w:rsidRPr="00FA7341" w:rsidRDefault="00A014F9" w:rsidP="00A014F9">
      <w:pPr>
        <w:pStyle w:val="Prrafodelista"/>
        <w:autoSpaceDE w:val="0"/>
        <w:autoSpaceDN w:val="0"/>
        <w:jc w:val="both"/>
        <w:rPr>
          <w:rFonts w:ascii="Century Gothic" w:hAnsi="Century Gothic" w:cs="Arial"/>
          <w:kern w:val="0"/>
        </w:rPr>
      </w:pPr>
    </w:p>
    <w:tbl>
      <w:tblPr>
        <w:tblW w:w="5000" w:type="pct"/>
        <w:tblCellMar>
          <w:left w:w="70" w:type="dxa"/>
          <w:right w:w="70" w:type="dxa"/>
        </w:tblCellMar>
        <w:tblLook w:val="04A0" w:firstRow="1" w:lastRow="0" w:firstColumn="1" w:lastColumn="0" w:noHBand="0" w:noVBand="1"/>
      </w:tblPr>
      <w:tblGrid>
        <w:gridCol w:w="2085"/>
        <w:gridCol w:w="1268"/>
        <w:gridCol w:w="1405"/>
        <w:gridCol w:w="1470"/>
        <w:gridCol w:w="1405"/>
        <w:gridCol w:w="1195"/>
      </w:tblGrid>
      <w:tr w:rsidR="00DA39D0" w:rsidRPr="00272255" w14:paraId="725FB557" w14:textId="77777777" w:rsidTr="00660911">
        <w:trPr>
          <w:trHeight w:val="480"/>
        </w:trPr>
        <w:tc>
          <w:tcPr>
            <w:tcW w:w="833" w:type="pct"/>
            <w:tcBorders>
              <w:top w:val="single" w:sz="4" w:space="0" w:color="auto"/>
              <w:left w:val="single" w:sz="4" w:space="0" w:color="auto"/>
              <w:bottom w:val="single" w:sz="4" w:space="0" w:color="auto"/>
              <w:right w:val="single" w:sz="4" w:space="0" w:color="auto"/>
            </w:tcBorders>
            <w:shd w:val="clear" w:color="000000" w:fill="4472C4"/>
            <w:vAlign w:val="center"/>
            <w:hideMark/>
          </w:tcPr>
          <w:p w14:paraId="5DEBADC3"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Actividad principal códigos CIIU</w:t>
            </w:r>
          </w:p>
        </w:tc>
        <w:tc>
          <w:tcPr>
            <w:tcW w:w="833" w:type="pct"/>
            <w:tcBorders>
              <w:top w:val="single" w:sz="4" w:space="0" w:color="auto"/>
              <w:left w:val="nil"/>
              <w:bottom w:val="single" w:sz="4" w:space="0" w:color="auto"/>
              <w:right w:val="single" w:sz="4" w:space="0" w:color="auto"/>
            </w:tcBorders>
            <w:shd w:val="clear" w:color="000000" w:fill="4472C4"/>
            <w:vAlign w:val="center"/>
            <w:hideMark/>
          </w:tcPr>
          <w:p w14:paraId="3575F918" w14:textId="77777777" w:rsidR="00DA39D0" w:rsidRPr="00272255" w:rsidRDefault="00DA39D0" w:rsidP="00DF7F99">
            <w:pPr>
              <w:pStyle w:val="Prrafodelista"/>
              <w:numPr>
                <w:ilvl w:val="0"/>
                <w:numId w:val="22"/>
              </w:numPr>
              <w:autoSpaceDE w:val="0"/>
              <w:autoSpaceDN w:val="0"/>
              <w:ind w:left="438" w:hanging="142"/>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Plenas-Individuales</w:t>
            </w:r>
          </w:p>
        </w:tc>
        <w:tc>
          <w:tcPr>
            <w:tcW w:w="833" w:type="pct"/>
            <w:tcBorders>
              <w:top w:val="single" w:sz="4" w:space="0" w:color="auto"/>
              <w:left w:val="nil"/>
              <w:bottom w:val="single" w:sz="4" w:space="0" w:color="auto"/>
              <w:right w:val="single" w:sz="4" w:space="0" w:color="auto"/>
            </w:tcBorders>
            <w:shd w:val="clear" w:color="000000" w:fill="4472C4"/>
            <w:vAlign w:val="center"/>
            <w:hideMark/>
          </w:tcPr>
          <w:p w14:paraId="09E1CCBD"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Plenas-Separados</w:t>
            </w:r>
          </w:p>
        </w:tc>
        <w:tc>
          <w:tcPr>
            <w:tcW w:w="833" w:type="pct"/>
            <w:tcBorders>
              <w:top w:val="single" w:sz="4" w:space="0" w:color="auto"/>
              <w:left w:val="nil"/>
              <w:bottom w:val="single" w:sz="4" w:space="0" w:color="auto"/>
              <w:right w:val="single" w:sz="4" w:space="0" w:color="auto"/>
            </w:tcBorders>
            <w:shd w:val="clear" w:color="000000" w:fill="4472C4"/>
            <w:vAlign w:val="center"/>
            <w:hideMark/>
          </w:tcPr>
          <w:p w14:paraId="367818EC"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Pymes-Individuales</w:t>
            </w:r>
          </w:p>
        </w:tc>
        <w:tc>
          <w:tcPr>
            <w:tcW w:w="833" w:type="pct"/>
            <w:tcBorders>
              <w:top w:val="single" w:sz="4" w:space="0" w:color="auto"/>
              <w:left w:val="nil"/>
              <w:bottom w:val="single" w:sz="4" w:space="0" w:color="auto"/>
              <w:right w:val="single" w:sz="4" w:space="0" w:color="auto"/>
            </w:tcBorders>
            <w:shd w:val="clear" w:color="000000" w:fill="4472C4"/>
            <w:vAlign w:val="center"/>
            <w:hideMark/>
          </w:tcPr>
          <w:p w14:paraId="3860DA4B"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Pymes-Separados</w:t>
            </w:r>
          </w:p>
        </w:tc>
        <w:tc>
          <w:tcPr>
            <w:tcW w:w="833" w:type="pct"/>
            <w:tcBorders>
              <w:top w:val="single" w:sz="4" w:space="0" w:color="auto"/>
              <w:left w:val="nil"/>
              <w:bottom w:val="single" w:sz="4" w:space="0" w:color="auto"/>
              <w:right w:val="single" w:sz="4" w:space="0" w:color="auto"/>
            </w:tcBorders>
            <w:shd w:val="clear" w:color="000000" w:fill="4472C4"/>
            <w:vAlign w:val="center"/>
            <w:hideMark/>
          </w:tcPr>
          <w:p w14:paraId="76A350CD"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proofErr w:type="gramStart"/>
            <w:r w:rsidRPr="00272255">
              <w:rPr>
                <w:rFonts w:ascii="Century Gothic" w:hAnsi="Century Gothic" w:cs="Arial"/>
                <w:kern w:val="0"/>
                <w:sz w:val="20"/>
                <w:szCs w:val="20"/>
                <w:highlight w:val="yellow"/>
              </w:rPr>
              <w:t>Total</w:t>
            </w:r>
            <w:proofErr w:type="gramEnd"/>
            <w:r w:rsidRPr="00272255">
              <w:rPr>
                <w:rFonts w:ascii="Century Gothic" w:hAnsi="Century Gothic" w:cs="Arial"/>
                <w:kern w:val="0"/>
                <w:sz w:val="20"/>
                <w:szCs w:val="20"/>
                <w:highlight w:val="yellow"/>
              </w:rPr>
              <w:t xml:space="preserve"> general</w:t>
            </w:r>
          </w:p>
        </w:tc>
      </w:tr>
      <w:tr w:rsidR="008963A6" w:rsidRPr="00272255" w14:paraId="73ED8350" w14:textId="77777777" w:rsidTr="00660911">
        <w:trPr>
          <w:trHeight w:val="300"/>
        </w:trPr>
        <w:tc>
          <w:tcPr>
            <w:tcW w:w="833" w:type="pct"/>
            <w:tcBorders>
              <w:top w:val="nil"/>
              <w:left w:val="single" w:sz="4" w:space="0" w:color="auto"/>
              <w:bottom w:val="single" w:sz="4" w:space="0" w:color="auto"/>
              <w:right w:val="single" w:sz="4" w:space="0" w:color="auto"/>
            </w:tcBorders>
            <w:vAlign w:val="bottom"/>
            <w:hideMark/>
          </w:tcPr>
          <w:p w14:paraId="5CBCC7F6" w14:textId="02D74EE6"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C1392 - Confección de artículos con materiales textiles, excepto prendas de vestir</w:t>
            </w:r>
          </w:p>
        </w:tc>
        <w:tc>
          <w:tcPr>
            <w:tcW w:w="833" w:type="pct"/>
            <w:tcBorders>
              <w:top w:val="nil"/>
              <w:left w:val="nil"/>
              <w:bottom w:val="single" w:sz="4" w:space="0" w:color="auto"/>
              <w:right w:val="single" w:sz="4" w:space="0" w:color="auto"/>
            </w:tcBorders>
            <w:noWrap/>
            <w:vAlign w:val="bottom"/>
            <w:hideMark/>
          </w:tcPr>
          <w:p w14:paraId="514FFDDC" w14:textId="5F262B35"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8</w:t>
            </w:r>
          </w:p>
        </w:tc>
        <w:tc>
          <w:tcPr>
            <w:tcW w:w="833" w:type="pct"/>
            <w:tcBorders>
              <w:top w:val="nil"/>
              <w:left w:val="nil"/>
              <w:bottom w:val="single" w:sz="4" w:space="0" w:color="auto"/>
              <w:right w:val="single" w:sz="4" w:space="0" w:color="auto"/>
            </w:tcBorders>
            <w:noWrap/>
            <w:vAlign w:val="bottom"/>
            <w:hideMark/>
          </w:tcPr>
          <w:p w14:paraId="04CAC46E" w14:textId="7F7CAC21"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w:t>
            </w:r>
          </w:p>
        </w:tc>
        <w:tc>
          <w:tcPr>
            <w:tcW w:w="833" w:type="pct"/>
            <w:tcBorders>
              <w:top w:val="nil"/>
              <w:left w:val="nil"/>
              <w:bottom w:val="single" w:sz="4" w:space="0" w:color="auto"/>
              <w:right w:val="single" w:sz="4" w:space="0" w:color="auto"/>
            </w:tcBorders>
            <w:noWrap/>
            <w:vAlign w:val="bottom"/>
            <w:hideMark/>
          </w:tcPr>
          <w:p w14:paraId="71DE6BD3" w14:textId="1116AE8D"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24</w:t>
            </w:r>
          </w:p>
        </w:tc>
        <w:tc>
          <w:tcPr>
            <w:tcW w:w="833" w:type="pct"/>
            <w:tcBorders>
              <w:top w:val="nil"/>
              <w:left w:val="nil"/>
              <w:bottom w:val="single" w:sz="4" w:space="0" w:color="auto"/>
              <w:right w:val="single" w:sz="4" w:space="0" w:color="auto"/>
            </w:tcBorders>
            <w:noWrap/>
            <w:vAlign w:val="bottom"/>
            <w:hideMark/>
          </w:tcPr>
          <w:p w14:paraId="7CDB82DF" w14:textId="38B92D06"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p>
        </w:tc>
        <w:tc>
          <w:tcPr>
            <w:tcW w:w="833" w:type="pct"/>
            <w:tcBorders>
              <w:top w:val="nil"/>
              <w:left w:val="nil"/>
              <w:bottom w:val="single" w:sz="4" w:space="0" w:color="auto"/>
              <w:right w:val="single" w:sz="4" w:space="0" w:color="auto"/>
            </w:tcBorders>
            <w:noWrap/>
            <w:vAlign w:val="bottom"/>
            <w:hideMark/>
          </w:tcPr>
          <w:p w14:paraId="0C38A3B8" w14:textId="7FA6CADD"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33</w:t>
            </w:r>
          </w:p>
        </w:tc>
      </w:tr>
      <w:tr w:rsidR="008963A6" w:rsidRPr="00272255" w14:paraId="7D6B2A29" w14:textId="77777777" w:rsidTr="00660911">
        <w:trPr>
          <w:trHeight w:val="300"/>
        </w:trPr>
        <w:tc>
          <w:tcPr>
            <w:tcW w:w="833" w:type="pct"/>
            <w:tcBorders>
              <w:top w:val="nil"/>
              <w:left w:val="single" w:sz="4" w:space="0" w:color="auto"/>
              <w:bottom w:val="single" w:sz="4" w:space="0" w:color="auto"/>
              <w:right w:val="single" w:sz="4" w:space="0" w:color="auto"/>
            </w:tcBorders>
            <w:vAlign w:val="bottom"/>
            <w:hideMark/>
          </w:tcPr>
          <w:p w14:paraId="79D37A1D" w14:textId="66D5684B"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G4643 - Comercio al por mayor de calzado</w:t>
            </w:r>
          </w:p>
        </w:tc>
        <w:tc>
          <w:tcPr>
            <w:tcW w:w="833" w:type="pct"/>
            <w:tcBorders>
              <w:top w:val="nil"/>
              <w:left w:val="nil"/>
              <w:bottom w:val="single" w:sz="4" w:space="0" w:color="auto"/>
              <w:right w:val="single" w:sz="4" w:space="0" w:color="auto"/>
            </w:tcBorders>
            <w:noWrap/>
            <w:vAlign w:val="bottom"/>
            <w:hideMark/>
          </w:tcPr>
          <w:p w14:paraId="410093A9" w14:textId="6F64FD8B"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8</w:t>
            </w:r>
          </w:p>
        </w:tc>
        <w:tc>
          <w:tcPr>
            <w:tcW w:w="833" w:type="pct"/>
            <w:tcBorders>
              <w:top w:val="nil"/>
              <w:left w:val="nil"/>
              <w:bottom w:val="single" w:sz="4" w:space="0" w:color="auto"/>
              <w:right w:val="single" w:sz="4" w:space="0" w:color="auto"/>
            </w:tcBorders>
            <w:noWrap/>
            <w:vAlign w:val="bottom"/>
            <w:hideMark/>
          </w:tcPr>
          <w:p w14:paraId="4E2D8E3D" w14:textId="33010B75"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p>
        </w:tc>
        <w:tc>
          <w:tcPr>
            <w:tcW w:w="833" w:type="pct"/>
            <w:tcBorders>
              <w:top w:val="nil"/>
              <w:left w:val="nil"/>
              <w:bottom w:val="single" w:sz="4" w:space="0" w:color="auto"/>
              <w:right w:val="single" w:sz="4" w:space="0" w:color="auto"/>
            </w:tcBorders>
            <w:noWrap/>
            <w:vAlign w:val="bottom"/>
            <w:hideMark/>
          </w:tcPr>
          <w:p w14:paraId="44B69DD1" w14:textId="293A48D1"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34</w:t>
            </w:r>
          </w:p>
        </w:tc>
        <w:tc>
          <w:tcPr>
            <w:tcW w:w="833" w:type="pct"/>
            <w:tcBorders>
              <w:top w:val="nil"/>
              <w:left w:val="nil"/>
              <w:bottom w:val="single" w:sz="4" w:space="0" w:color="auto"/>
              <w:right w:val="single" w:sz="4" w:space="0" w:color="auto"/>
            </w:tcBorders>
            <w:noWrap/>
            <w:vAlign w:val="bottom"/>
            <w:hideMark/>
          </w:tcPr>
          <w:p w14:paraId="2CD124BB" w14:textId="23CAB72D"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2</w:t>
            </w:r>
          </w:p>
        </w:tc>
        <w:tc>
          <w:tcPr>
            <w:tcW w:w="833" w:type="pct"/>
            <w:tcBorders>
              <w:top w:val="nil"/>
              <w:left w:val="nil"/>
              <w:bottom w:val="single" w:sz="4" w:space="0" w:color="auto"/>
              <w:right w:val="single" w:sz="4" w:space="0" w:color="auto"/>
            </w:tcBorders>
            <w:noWrap/>
            <w:vAlign w:val="bottom"/>
            <w:hideMark/>
          </w:tcPr>
          <w:p w14:paraId="6E7AF08C" w14:textId="20302D5C"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44</w:t>
            </w:r>
          </w:p>
        </w:tc>
      </w:tr>
      <w:tr w:rsidR="008963A6" w:rsidRPr="00272255" w14:paraId="78F8F639" w14:textId="77777777" w:rsidTr="00660911">
        <w:trPr>
          <w:trHeight w:val="300"/>
        </w:trPr>
        <w:tc>
          <w:tcPr>
            <w:tcW w:w="833" w:type="pct"/>
            <w:tcBorders>
              <w:top w:val="nil"/>
              <w:left w:val="single" w:sz="4" w:space="0" w:color="auto"/>
              <w:bottom w:val="single" w:sz="4" w:space="0" w:color="auto"/>
              <w:right w:val="single" w:sz="4" w:space="0" w:color="auto"/>
            </w:tcBorders>
            <w:vAlign w:val="bottom"/>
          </w:tcPr>
          <w:p w14:paraId="1619648D" w14:textId="7348F66A"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xml:space="preserve">G4741 - Comercio al </w:t>
            </w:r>
            <w:r w:rsidRPr="00272255">
              <w:rPr>
                <w:rFonts w:ascii="Century Gothic" w:hAnsi="Century Gothic" w:cs="Arial"/>
                <w:kern w:val="0"/>
                <w:sz w:val="20"/>
                <w:szCs w:val="20"/>
                <w:highlight w:val="yellow"/>
              </w:rPr>
              <w:lastRenderedPageBreak/>
              <w:t>por menor de computadores, equipos periféricos, programas de informática y equipos de telecomunicaciones en establecimientos especializados</w:t>
            </w:r>
          </w:p>
        </w:tc>
        <w:tc>
          <w:tcPr>
            <w:tcW w:w="833" w:type="pct"/>
            <w:tcBorders>
              <w:top w:val="nil"/>
              <w:left w:val="nil"/>
              <w:bottom w:val="single" w:sz="4" w:space="0" w:color="auto"/>
              <w:right w:val="single" w:sz="4" w:space="0" w:color="auto"/>
            </w:tcBorders>
            <w:noWrap/>
            <w:vAlign w:val="bottom"/>
          </w:tcPr>
          <w:p w14:paraId="673336B5" w14:textId="51223219"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lastRenderedPageBreak/>
              <w:t>6</w:t>
            </w:r>
          </w:p>
        </w:tc>
        <w:tc>
          <w:tcPr>
            <w:tcW w:w="833" w:type="pct"/>
            <w:tcBorders>
              <w:top w:val="nil"/>
              <w:left w:val="nil"/>
              <w:bottom w:val="single" w:sz="4" w:space="0" w:color="auto"/>
              <w:right w:val="single" w:sz="4" w:space="0" w:color="auto"/>
            </w:tcBorders>
            <w:noWrap/>
            <w:vAlign w:val="bottom"/>
          </w:tcPr>
          <w:p w14:paraId="32C6B484" w14:textId="27E8D102"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w:t>
            </w:r>
          </w:p>
        </w:tc>
        <w:tc>
          <w:tcPr>
            <w:tcW w:w="833" w:type="pct"/>
            <w:tcBorders>
              <w:top w:val="nil"/>
              <w:left w:val="nil"/>
              <w:bottom w:val="single" w:sz="4" w:space="0" w:color="auto"/>
              <w:right w:val="single" w:sz="4" w:space="0" w:color="auto"/>
            </w:tcBorders>
            <w:noWrap/>
            <w:vAlign w:val="bottom"/>
          </w:tcPr>
          <w:p w14:paraId="0C0801F9" w14:textId="29A71118"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106</w:t>
            </w:r>
          </w:p>
        </w:tc>
        <w:tc>
          <w:tcPr>
            <w:tcW w:w="833" w:type="pct"/>
            <w:tcBorders>
              <w:top w:val="nil"/>
              <w:left w:val="nil"/>
              <w:bottom w:val="single" w:sz="4" w:space="0" w:color="auto"/>
              <w:right w:val="single" w:sz="4" w:space="0" w:color="auto"/>
            </w:tcBorders>
            <w:noWrap/>
            <w:vAlign w:val="bottom"/>
          </w:tcPr>
          <w:p w14:paraId="2A407504" w14:textId="0947979E"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4</w:t>
            </w:r>
          </w:p>
        </w:tc>
        <w:tc>
          <w:tcPr>
            <w:tcW w:w="833" w:type="pct"/>
            <w:tcBorders>
              <w:top w:val="nil"/>
              <w:left w:val="nil"/>
              <w:bottom w:val="single" w:sz="4" w:space="0" w:color="auto"/>
              <w:right w:val="single" w:sz="4" w:space="0" w:color="auto"/>
            </w:tcBorders>
            <w:noWrap/>
            <w:vAlign w:val="bottom"/>
          </w:tcPr>
          <w:p w14:paraId="05D5DFD7" w14:textId="1A905055"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117</w:t>
            </w:r>
          </w:p>
        </w:tc>
      </w:tr>
      <w:tr w:rsidR="008963A6" w:rsidRPr="00272255" w14:paraId="0CC38DB5" w14:textId="77777777" w:rsidTr="00660911">
        <w:trPr>
          <w:trHeight w:val="480"/>
        </w:trPr>
        <w:tc>
          <w:tcPr>
            <w:tcW w:w="833" w:type="pct"/>
            <w:tcBorders>
              <w:top w:val="nil"/>
              <w:left w:val="single" w:sz="4" w:space="0" w:color="auto"/>
              <w:bottom w:val="single" w:sz="4" w:space="0" w:color="auto"/>
              <w:right w:val="single" w:sz="4" w:space="0" w:color="auto"/>
            </w:tcBorders>
            <w:vAlign w:val="bottom"/>
            <w:hideMark/>
          </w:tcPr>
          <w:p w14:paraId="133D581D" w14:textId="527EDBE6"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G4771 - Comercio al por menor de prendas de vestir y sus accesorios (incluye artículos de piel) en establecimientos especializados</w:t>
            </w:r>
          </w:p>
        </w:tc>
        <w:tc>
          <w:tcPr>
            <w:tcW w:w="833" w:type="pct"/>
            <w:tcBorders>
              <w:top w:val="nil"/>
              <w:left w:val="nil"/>
              <w:bottom w:val="single" w:sz="4" w:space="0" w:color="auto"/>
              <w:right w:val="single" w:sz="4" w:space="0" w:color="auto"/>
            </w:tcBorders>
            <w:noWrap/>
            <w:vAlign w:val="bottom"/>
            <w:hideMark/>
          </w:tcPr>
          <w:p w14:paraId="336A15B2" w14:textId="55B1FC4F"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21</w:t>
            </w:r>
          </w:p>
        </w:tc>
        <w:tc>
          <w:tcPr>
            <w:tcW w:w="833" w:type="pct"/>
            <w:tcBorders>
              <w:top w:val="nil"/>
              <w:left w:val="nil"/>
              <w:bottom w:val="single" w:sz="4" w:space="0" w:color="auto"/>
              <w:right w:val="single" w:sz="4" w:space="0" w:color="auto"/>
            </w:tcBorders>
            <w:noWrap/>
            <w:vAlign w:val="bottom"/>
            <w:hideMark/>
          </w:tcPr>
          <w:p w14:paraId="07CF1A3F" w14:textId="510FCB49"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3</w:t>
            </w:r>
          </w:p>
        </w:tc>
        <w:tc>
          <w:tcPr>
            <w:tcW w:w="833" w:type="pct"/>
            <w:tcBorders>
              <w:top w:val="nil"/>
              <w:left w:val="nil"/>
              <w:bottom w:val="single" w:sz="4" w:space="0" w:color="auto"/>
              <w:right w:val="single" w:sz="4" w:space="0" w:color="auto"/>
            </w:tcBorders>
            <w:noWrap/>
            <w:vAlign w:val="bottom"/>
            <w:hideMark/>
          </w:tcPr>
          <w:p w14:paraId="2F2E886D" w14:textId="41367B1B"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134</w:t>
            </w:r>
          </w:p>
        </w:tc>
        <w:tc>
          <w:tcPr>
            <w:tcW w:w="833" w:type="pct"/>
            <w:tcBorders>
              <w:top w:val="nil"/>
              <w:left w:val="nil"/>
              <w:bottom w:val="single" w:sz="4" w:space="0" w:color="auto"/>
              <w:right w:val="single" w:sz="4" w:space="0" w:color="auto"/>
            </w:tcBorders>
            <w:noWrap/>
            <w:vAlign w:val="bottom"/>
            <w:hideMark/>
          </w:tcPr>
          <w:p w14:paraId="27349783" w14:textId="25636464"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5</w:t>
            </w:r>
          </w:p>
        </w:tc>
        <w:tc>
          <w:tcPr>
            <w:tcW w:w="833" w:type="pct"/>
            <w:tcBorders>
              <w:top w:val="nil"/>
              <w:left w:val="nil"/>
              <w:bottom w:val="single" w:sz="4" w:space="0" w:color="auto"/>
              <w:right w:val="single" w:sz="4" w:space="0" w:color="auto"/>
            </w:tcBorders>
            <w:noWrap/>
            <w:vAlign w:val="bottom"/>
            <w:hideMark/>
          </w:tcPr>
          <w:p w14:paraId="27A5553B" w14:textId="6A3F6E6B"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163</w:t>
            </w:r>
          </w:p>
        </w:tc>
      </w:tr>
      <w:tr w:rsidR="008963A6" w:rsidRPr="00FA7341" w14:paraId="25A7B159" w14:textId="77777777" w:rsidTr="00660911">
        <w:trPr>
          <w:trHeight w:val="300"/>
        </w:trPr>
        <w:tc>
          <w:tcPr>
            <w:tcW w:w="833" w:type="pct"/>
            <w:tcBorders>
              <w:top w:val="nil"/>
              <w:left w:val="single" w:sz="4" w:space="0" w:color="auto"/>
              <w:bottom w:val="single" w:sz="4" w:space="0" w:color="auto"/>
              <w:right w:val="single" w:sz="4" w:space="0" w:color="auto"/>
            </w:tcBorders>
            <w:shd w:val="clear" w:color="000000" w:fill="4472C4"/>
            <w:vAlign w:val="bottom"/>
            <w:hideMark/>
          </w:tcPr>
          <w:p w14:paraId="0895385B" w14:textId="111005F7"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proofErr w:type="gramStart"/>
            <w:r w:rsidRPr="00272255">
              <w:rPr>
                <w:rFonts w:ascii="Century Gothic" w:hAnsi="Century Gothic" w:cs="Arial"/>
                <w:kern w:val="0"/>
                <w:sz w:val="20"/>
                <w:szCs w:val="20"/>
                <w:highlight w:val="yellow"/>
              </w:rPr>
              <w:t>Total</w:t>
            </w:r>
            <w:proofErr w:type="gramEnd"/>
            <w:r w:rsidRPr="00272255">
              <w:rPr>
                <w:rFonts w:ascii="Century Gothic" w:hAnsi="Century Gothic" w:cs="Arial"/>
                <w:kern w:val="0"/>
                <w:sz w:val="20"/>
                <w:szCs w:val="20"/>
                <w:highlight w:val="yellow"/>
              </w:rPr>
              <w:t xml:space="preserve"> general</w:t>
            </w:r>
          </w:p>
        </w:tc>
        <w:tc>
          <w:tcPr>
            <w:tcW w:w="833" w:type="pct"/>
            <w:tcBorders>
              <w:top w:val="nil"/>
              <w:left w:val="nil"/>
              <w:bottom w:val="single" w:sz="4" w:space="0" w:color="auto"/>
              <w:right w:val="single" w:sz="4" w:space="0" w:color="auto"/>
            </w:tcBorders>
            <w:shd w:val="clear" w:color="000000" w:fill="4472C4"/>
            <w:noWrap/>
            <w:vAlign w:val="bottom"/>
            <w:hideMark/>
          </w:tcPr>
          <w:p w14:paraId="5F9FB221" w14:textId="50907690"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43</w:t>
            </w:r>
          </w:p>
        </w:tc>
        <w:tc>
          <w:tcPr>
            <w:tcW w:w="833" w:type="pct"/>
            <w:tcBorders>
              <w:top w:val="nil"/>
              <w:left w:val="nil"/>
              <w:bottom w:val="single" w:sz="4" w:space="0" w:color="auto"/>
              <w:right w:val="single" w:sz="4" w:space="0" w:color="auto"/>
            </w:tcBorders>
            <w:shd w:val="clear" w:color="000000" w:fill="4472C4"/>
            <w:noWrap/>
            <w:vAlign w:val="bottom"/>
            <w:hideMark/>
          </w:tcPr>
          <w:p w14:paraId="0C81893D" w14:textId="09391A64"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5</w:t>
            </w:r>
          </w:p>
        </w:tc>
        <w:tc>
          <w:tcPr>
            <w:tcW w:w="833" w:type="pct"/>
            <w:tcBorders>
              <w:top w:val="nil"/>
              <w:left w:val="nil"/>
              <w:bottom w:val="single" w:sz="4" w:space="0" w:color="auto"/>
              <w:right w:val="single" w:sz="4" w:space="0" w:color="auto"/>
            </w:tcBorders>
            <w:shd w:val="clear" w:color="000000" w:fill="4472C4"/>
            <w:noWrap/>
            <w:vAlign w:val="bottom"/>
            <w:hideMark/>
          </w:tcPr>
          <w:p w14:paraId="607A9631" w14:textId="5BA0747D"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298</w:t>
            </w:r>
          </w:p>
        </w:tc>
        <w:tc>
          <w:tcPr>
            <w:tcW w:w="833" w:type="pct"/>
            <w:tcBorders>
              <w:top w:val="nil"/>
              <w:left w:val="nil"/>
              <w:bottom w:val="single" w:sz="4" w:space="0" w:color="auto"/>
              <w:right w:val="single" w:sz="4" w:space="0" w:color="auto"/>
            </w:tcBorders>
            <w:shd w:val="clear" w:color="000000" w:fill="4472C4"/>
            <w:noWrap/>
            <w:vAlign w:val="bottom"/>
            <w:hideMark/>
          </w:tcPr>
          <w:p w14:paraId="59E0B602" w14:textId="1CD5E9AD"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11</w:t>
            </w:r>
          </w:p>
        </w:tc>
        <w:tc>
          <w:tcPr>
            <w:tcW w:w="833" w:type="pct"/>
            <w:tcBorders>
              <w:top w:val="nil"/>
              <w:left w:val="nil"/>
              <w:bottom w:val="single" w:sz="4" w:space="0" w:color="auto"/>
              <w:right w:val="single" w:sz="4" w:space="0" w:color="auto"/>
            </w:tcBorders>
            <w:shd w:val="clear" w:color="000000" w:fill="4472C4"/>
            <w:noWrap/>
            <w:vAlign w:val="bottom"/>
            <w:hideMark/>
          </w:tcPr>
          <w:p w14:paraId="1CB34D42" w14:textId="1F3E6BC5" w:rsidR="008963A6" w:rsidRPr="00272255" w:rsidRDefault="008963A6"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357</w:t>
            </w:r>
          </w:p>
        </w:tc>
      </w:tr>
    </w:tbl>
    <w:p w14:paraId="2D4B6B0A" w14:textId="77777777" w:rsidR="00DA39D0" w:rsidRPr="00FA7341" w:rsidRDefault="00DA39D0" w:rsidP="00660911">
      <w:pPr>
        <w:pStyle w:val="Prrafodelista"/>
        <w:numPr>
          <w:ilvl w:val="0"/>
          <w:numId w:val="22"/>
        </w:numPr>
        <w:autoSpaceDE w:val="0"/>
        <w:autoSpaceDN w:val="0"/>
        <w:jc w:val="both"/>
        <w:rPr>
          <w:rFonts w:ascii="Century Gothic" w:hAnsi="Century Gothic" w:cs="Arial"/>
          <w:kern w:val="0"/>
          <w:lang w:val="pt-PT"/>
        </w:rPr>
      </w:pPr>
      <w:r w:rsidRPr="00FA7341">
        <w:rPr>
          <w:rFonts w:ascii="Century Gothic" w:hAnsi="Century Gothic" w:cs="Arial"/>
          <w:kern w:val="0"/>
          <w:lang w:val="pt-PT"/>
        </w:rPr>
        <w:t xml:space="preserve">Fuente: </w:t>
      </w:r>
      <w:r>
        <w:fldChar w:fldCharType="begin"/>
      </w:r>
      <w:r>
        <w:instrText>HYPERLINK "https://siis.ia.supersociedades.gov.co/" \l "/massivereports"</w:instrText>
      </w:r>
      <w:r>
        <w:fldChar w:fldCharType="separate"/>
      </w:r>
      <w:r w:rsidRPr="00FA7341">
        <w:rPr>
          <w:rFonts w:ascii="Century Gothic" w:hAnsi="Century Gothic" w:cs="Arial"/>
          <w:kern w:val="0"/>
          <w:lang w:val="pt-PT"/>
        </w:rPr>
        <w:t>SIIS - /massivereports (supersociedades.gov.co)</w:t>
      </w:r>
      <w:r>
        <w:fldChar w:fldCharType="end"/>
      </w:r>
    </w:p>
    <w:p w14:paraId="04623865" w14:textId="77777777" w:rsidR="00662075" w:rsidRPr="00FA7341" w:rsidRDefault="00662075" w:rsidP="00660911">
      <w:pPr>
        <w:pStyle w:val="Prrafodelista"/>
        <w:numPr>
          <w:ilvl w:val="0"/>
          <w:numId w:val="22"/>
        </w:numPr>
        <w:autoSpaceDE w:val="0"/>
        <w:autoSpaceDN w:val="0"/>
        <w:jc w:val="both"/>
        <w:rPr>
          <w:rFonts w:ascii="Century Gothic" w:hAnsi="Century Gothic" w:cs="Arial"/>
          <w:kern w:val="0"/>
        </w:rPr>
      </w:pPr>
      <w:r w:rsidRPr="00FA7341">
        <w:rPr>
          <w:rFonts w:ascii="Century Gothic" w:hAnsi="Century Gothic" w:cs="Arial"/>
          <w:kern w:val="0"/>
        </w:rPr>
        <w:t xml:space="preserve">De la revisión de la información correspondiente a las empresas asociadas a los códigos analizados, se evidenció </w:t>
      </w:r>
      <w:r w:rsidRPr="00A014F9">
        <w:rPr>
          <w:rFonts w:ascii="Century Gothic" w:hAnsi="Century Gothic" w:cs="Arial"/>
          <w:kern w:val="0"/>
          <w:highlight w:val="yellow"/>
        </w:rPr>
        <w:t>que 306 empresas</w:t>
      </w:r>
      <w:r w:rsidRPr="00FA7341">
        <w:rPr>
          <w:rFonts w:ascii="Century Gothic" w:hAnsi="Century Gothic" w:cs="Arial"/>
          <w:kern w:val="0"/>
        </w:rPr>
        <w:t xml:space="preserve"> no contaban con la información financiera completa, razón por la cual fueron descartadas del análisis.</w:t>
      </w:r>
    </w:p>
    <w:p w14:paraId="714BA563" w14:textId="77777777" w:rsidR="00662075" w:rsidRPr="00FA7341" w:rsidRDefault="00662075" w:rsidP="00660911">
      <w:pPr>
        <w:pStyle w:val="Prrafodelista"/>
        <w:numPr>
          <w:ilvl w:val="0"/>
          <w:numId w:val="22"/>
        </w:numPr>
        <w:autoSpaceDE w:val="0"/>
        <w:autoSpaceDN w:val="0"/>
        <w:jc w:val="both"/>
        <w:rPr>
          <w:rFonts w:ascii="Century Gothic" w:hAnsi="Century Gothic" w:cs="Arial"/>
          <w:kern w:val="0"/>
        </w:rPr>
      </w:pPr>
      <w:r w:rsidRPr="00FA7341">
        <w:rPr>
          <w:rFonts w:ascii="Century Gothic" w:hAnsi="Century Gothic" w:cs="Arial"/>
          <w:kern w:val="0"/>
        </w:rPr>
        <w:t>En consecuencia, el estudio se realizó con 51 empresas que sí presentaban información financiera suficiente, lo que permitió calcular los indicadores financieros y sus respectivas medidas estadísticas: promedio, mínimo, máximo, mediana y desviación estándar.</w:t>
      </w:r>
    </w:p>
    <w:p w14:paraId="415631F4" w14:textId="0967E1BC" w:rsidR="00DA39D0" w:rsidRPr="00FA7341" w:rsidRDefault="00DA39D0" w:rsidP="00660911">
      <w:pPr>
        <w:pStyle w:val="Prrafodelista"/>
        <w:numPr>
          <w:ilvl w:val="0"/>
          <w:numId w:val="22"/>
        </w:numPr>
        <w:autoSpaceDE w:val="0"/>
        <w:autoSpaceDN w:val="0"/>
        <w:jc w:val="both"/>
        <w:rPr>
          <w:rFonts w:ascii="Century Gothic" w:hAnsi="Century Gothic" w:cs="Arial"/>
          <w:kern w:val="0"/>
        </w:rPr>
      </w:pPr>
      <w:r w:rsidRPr="00FA7341">
        <w:rPr>
          <w:rFonts w:ascii="Century Gothic" w:hAnsi="Century Gothic" w:cs="Arial"/>
          <w:kern w:val="0"/>
        </w:rPr>
        <w:lastRenderedPageBreak/>
        <w:t>Del análisis del sector se evidenciaron las siguientes estadísticas descriptivas para cada indicador:</w:t>
      </w:r>
      <w:bookmarkStart w:id="55" w:name="_Toc175899117"/>
    </w:p>
    <w:p w14:paraId="22C736E2" w14:textId="226C3EA6" w:rsidR="00DA39D0" w:rsidRPr="00FA7341" w:rsidRDefault="00DA39D0" w:rsidP="00660911">
      <w:pPr>
        <w:pStyle w:val="Prrafodelista"/>
        <w:numPr>
          <w:ilvl w:val="0"/>
          <w:numId w:val="22"/>
        </w:numPr>
        <w:autoSpaceDE w:val="0"/>
        <w:autoSpaceDN w:val="0"/>
        <w:jc w:val="both"/>
        <w:rPr>
          <w:rFonts w:ascii="Century Gothic" w:hAnsi="Century Gothic" w:cs="Arial"/>
          <w:kern w:val="0"/>
        </w:rPr>
      </w:pPr>
      <w:bookmarkStart w:id="56" w:name="_Toc179188780"/>
      <w:bookmarkStart w:id="57" w:name="_Toc192773263"/>
      <w:bookmarkEnd w:id="55"/>
      <w:r w:rsidRPr="00FA7341">
        <w:rPr>
          <w:rFonts w:ascii="Century Gothic" w:hAnsi="Century Gothic" w:cs="Arial"/>
          <w:kern w:val="0"/>
        </w:rPr>
        <w:t xml:space="preserve">Tabla </w:t>
      </w:r>
      <w:r w:rsidRPr="00FA7341">
        <w:rPr>
          <w:rFonts w:ascii="Century Gothic" w:hAnsi="Century Gothic" w:cs="Arial"/>
          <w:kern w:val="0"/>
        </w:rPr>
        <w:fldChar w:fldCharType="begin"/>
      </w:r>
      <w:r w:rsidRPr="00FA7341">
        <w:rPr>
          <w:rFonts w:ascii="Century Gothic" w:hAnsi="Century Gothic" w:cs="Arial"/>
          <w:kern w:val="0"/>
        </w:rPr>
        <w:instrText xml:space="preserve"> SEQ Tabla \* ARABIC </w:instrText>
      </w:r>
      <w:r w:rsidRPr="00FA7341">
        <w:rPr>
          <w:rFonts w:ascii="Century Gothic" w:hAnsi="Century Gothic" w:cs="Arial"/>
          <w:kern w:val="0"/>
        </w:rPr>
        <w:fldChar w:fldCharType="separate"/>
      </w:r>
      <w:r w:rsidR="00030ED5" w:rsidRPr="00FA7341">
        <w:rPr>
          <w:rFonts w:ascii="Century Gothic" w:hAnsi="Century Gothic" w:cs="Arial"/>
          <w:noProof/>
          <w:kern w:val="0"/>
        </w:rPr>
        <w:t>7</w:t>
      </w:r>
      <w:r w:rsidRPr="00FA7341">
        <w:rPr>
          <w:rFonts w:ascii="Century Gothic" w:hAnsi="Century Gothic" w:cs="Arial"/>
          <w:kern w:val="0"/>
        </w:rPr>
        <w:fldChar w:fldCharType="end"/>
      </w:r>
      <w:r w:rsidRPr="00FA7341">
        <w:rPr>
          <w:rFonts w:ascii="Century Gothic" w:hAnsi="Century Gothic" w:cs="Arial"/>
          <w:kern w:val="0"/>
        </w:rPr>
        <w:t xml:space="preserve"> Estadísticas descriptivas</w:t>
      </w:r>
      <w:bookmarkEnd w:id="56"/>
      <w:bookmarkEnd w:id="57"/>
    </w:p>
    <w:p w14:paraId="4F913C64" w14:textId="77777777" w:rsidR="00DA39D0" w:rsidRPr="00FA7341" w:rsidRDefault="00DA39D0" w:rsidP="00660911">
      <w:pPr>
        <w:pStyle w:val="Prrafodelista"/>
        <w:numPr>
          <w:ilvl w:val="0"/>
          <w:numId w:val="22"/>
        </w:numPr>
        <w:autoSpaceDE w:val="0"/>
        <w:autoSpaceDN w:val="0"/>
        <w:jc w:val="both"/>
        <w:rPr>
          <w:rFonts w:ascii="Century Gothic" w:hAnsi="Century Gothic" w:cs="Arial"/>
          <w:kern w:val="0"/>
        </w:rPr>
      </w:pPr>
    </w:p>
    <w:tbl>
      <w:tblPr>
        <w:tblW w:w="8741" w:type="dxa"/>
        <w:tblCellMar>
          <w:left w:w="70" w:type="dxa"/>
          <w:right w:w="70" w:type="dxa"/>
        </w:tblCellMar>
        <w:tblLook w:val="04A0" w:firstRow="1" w:lastRow="0" w:firstColumn="1" w:lastColumn="0" w:noHBand="0" w:noVBand="1"/>
      </w:tblPr>
      <w:tblGrid>
        <w:gridCol w:w="1648"/>
        <w:gridCol w:w="1144"/>
        <w:gridCol w:w="1724"/>
        <w:gridCol w:w="1312"/>
        <w:gridCol w:w="1500"/>
        <w:gridCol w:w="1500"/>
      </w:tblGrid>
      <w:tr w:rsidR="00DA39D0" w:rsidRPr="00272255" w14:paraId="50004265" w14:textId="77777777" w:rsidTr="00C816B0">
        <w:trPr>
          <w:trHeight w:val="1200"/>
        </w:trPr>
        <w:tc>
          <w:tcPr>
            <w:tcW w:w="2320" w:type="dxa"/>
            <w:tcBorders>
              <w:top w:val="single" w:sz="4" w:space="0" w:color="auto"/>
              <w:left w:val="single" w:sz="4" w:space="0" w:color="auto"/>
              <w:bottom w:val="single" w:sz="4" w:space="0" w:color="auto"/>
              <w:right w:val="single" w:sz="4" w:space="0" w:color="auto"/>
            </w:tcBorders>
            <w:shd w:val="clear" w:color="000000" w:fill="203764"/>
            <w:noWrap/>
            <w:vAlign w:val="bottom"/>
            <w:hideMark/>
          </w:tcPr>
          <w:p w14:paraId="11C69C53" w14:textId="77777777" w:rsidR="00DA39D0" w:rsidRPr="00FA7341" w:rsidRDefault="00DA39D0" w:rsidP="00660911">
            <w:pPr>
              <w:pStyle w:val="Prrafodelista"/>
              <w:numPr>
                <w:ilvl w:val="0"/>
                <w:numId w:val="22"/>
              </w:numPr>
              <w:autoSpaceDE w:val="0"/>
              <w:autoSpaceDN w:val="0"/>
              <w:jc w:val="both"/>
              <w:rPr>
                <w:rFonts w:ascii="Century Gothic" w:hAnsi="Century Gothic" w:cs="Arial"/>
                <w:kern w:val="0"/>
                <w:sz w:val="20"/>
                <w:szCs w:val="20"/>
              </w:rPr>
            </w:pPr>
            <w:r w:rsidRPr="00FA7341">
              <w:rPr>
                <w:rFonts w:ascii="Century Gothic" w:hAnsi="Century Gothic" w:cs="Arial"/>
                <w:kern w:val="0"/>
                <w:sz w:val="20"/>
                <w:szCs w:val="20"/>
              </w:rPr>
              <w:t> </w:t>
            </w:r>
          </w:p>
        </w:tc>
        <w:tc>
          <w:tcPr>
            <w:tcW w:w="1180" w:type="dxa"/>
            <w:tcBorders>
              <w:top w:val="single" w:sz="4" w:space="0" w:color="auto"/>
              <w:left w:val="nil"/>
              <w:bottom w:val="single" w:sz="4" w:space="0" w:color="auto"/>
              <w:right w:val="single" w:sz="4" w:space="0" w:color="auto"/>
            </w:tcBorders>
            <w:shd w:val="clear" w:color="000000" w:fill="203764"/>
            <w:vAlign w:val="center"/>
            <w:hideMark/>
          </w:tcPr>
          <w:p w14:paraId="0B67E762"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FA7341">
              <w:rPr>
                <w:rFonts w:ascii="Century Gothic" w:hAnsi="Century Gothic" w:cs="Arial"/>
                <w:kern w:val="0"/>
                <w:sz w:val="20"/>
                <w:szCs w:val="20"/>
              </w:rPr>
              <w:t xml:space="preserve"> </w:t>
            </w:r>
            <w:r w:rsidRPr="00272255">
              <w:rPr>
                <w:rFonts w:ascii="Century Gothic" w:hAnsi="Century Gothic" w:cs="Arial"/>
                <w:kern w:val="0"/>
                <w:sz w:val="20"/>
                <w:szCs w:val="20"/>
                <w:highlight w:val="yellow"/>
              </w:rPr>
              <w:t xml:space="preserve">Índice de liquidez </w:t>
            </w:r>
          </w:p>
        </w:tc>
        <w:tc>
          <w:tcPr>
            <w:tcW w:w="1596" w:type="dxa"/>
            <w:tcBorders>
              <w:top w:val="single" w:sz="4" w:space="0" w:color="auto"/>
              <w:left w:val="nil"/>
              <w:bottom w:val="single" w:sz="4" w:space="0" w:color="auto"/>
              <w:right w:val="single" w:sz="4" w:space="0" w:color="auto"/>
            </w:tcBorders>
            <w:shd w:val="clear" w:color="000000" w:fill="203764"/>
            <w:vAlign w:val="center"/>
            <w:hideMark/>
          </w:tcPr>
          <w:p w14:paraId="2C245C2A"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xml:space="preserve"> Nivel de Endeudamiento </w:t>
            </w:r>
          </w:p>
        </w:tc>
        <w:tc>
          <w:tcPr>
            <w:tcW w:w="1039" w:type="dxa"/>
            <w:tcBorders>
              <w:top w:val="single" w:sz="4" w:space="0" w:color="auto"/>
              <w:left w:val="nil"/>
              <w:bottom w:val="single" w:sz="4" w:space="0" w:color="auto"/>
              <w:right w:val="single" w:sz="4" w:space="0" w:color="auto"/>
            </w:tcBorders>
            <w:shd w:val="clear" w:color="000000" w:fill="203764"/>
            <w:vAlign w:val="center"/>
            <w:hideMark/>
          </w:tcPr>
          <w:p w14:paraId="09F08EA1"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xml:space="preserve"> Razón de cobertura de intereses </w:t>
            </w:r>
          </w:p>
        </w:tc>
        <w:tc>
          <w:tcPr>
            <w:tcW w:w="1303" w:type="dxa"/>
            <w:tcBorders>
              <w:top w:val="single" w:sz="4" w:space="0" w:color="auto"/>
              <w:left w:val="nil"/>
              <w:bottom w:val="single" w:sz="4" w:space="0" w:color="auto"/>
              <w:right w:val="single" w:sz="4" w:space="0" w:color="auto"/>
            </w:tcBorders>
            <w:shd w:val="clear" w:color="000000" w:fill="203764"/>
            <w:vAlign w:val="center"/>
            <w:hideMark/>
          </w:tcPr>
          <w:p w14:paraId="6C9C6205"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xml:space="preserve"> Rentabilidad del Patrimonio </w:t>
            </w:r>
          </w:p>
        </w:tc>
        <w:tc>
          <w:tcPr>
            <w:tcW w:w="1303" w:type="dxa"/>
            <w:tcBorders>
              <w:top w:val="single" w:sz="4" w:space="0" w:color="auto"/>
              <w:left w:val="nil"/>
              <w:bottom w:val="single" w:sz="4" w:space="0" w:color="auto"/>
              <w:right w:val="single" w:sz="4" w:space="0" w:color="auto"/>
            </w:tcBorders>
            <w:shd w:val="clear" w:color="000000" w:fill="203764"/>
            <w:vAlign w:val="center"/>
            <w:hideMark/>
          </w:tcPr>
          <w:p w14:paraId="4669481C" w14:textId="77777777" w:rsidR="00DA39D0" w:rsidRPr="00272255" w:rsidRDefault="00DA39D0"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xml:space="preserve"> Rentabilidad de los Activos </w:t>
            </w:r>
          </w:p>
        </w:tc>
      </w:tr>
      <w:tr w:rsidR="006E1F29" w:rsidRPr="00272255" w14:paraId="42430FF6" w14:textId="77777777" w:rsidTr="00C816B0">
        <w:trPr>
          <w:trHeight w:val="200"/>
        </w:trPr>
        <w:tc>
          <w:tcPr>
            <w:tcW w:w="2320" w:type="dxa"/>
            <w:tcBorders>
              <w:top w:val="nil"/>
              <w:left w:val="single" w:sz="4" w:space="0" w:color="auto"/>
              <w:bottom w:val="single" w:sz="4" w:space="0" w:color="auto"/>
              <w:right w:val="single" w:sz="4" w:space="0" w:color="auto"/>
            </w:tcBorders>
            <w:noWrap/>
            <w:vAlign w:val="bottom"/>
            <w:hideMark/>
          </w:tcPr>
          <w:p w14:paraId="35000FEF" w14:textId="77777777"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PROMEDIO</w:t>
            </w:r>
          </w:p>
        </w:tc>
        <w:tc>
          <w:tcPr>
            <w:tcW w:w="1180" w:type="dxa"/>
            <w:tcBorders>
              <w:top w:val="nil"/>
              <w:left w:val="nil"/>
              <w:bottom w:val="single" w:sz="4" w:space="0" w:color="auto"/>
              <w:right w:val="single" w:sz="4" w:space="0" w:color="auto"/>
            </w:tcBorders>
            <w:noWrap/>
            <w:hideMark/>
          </w:tcPr>
          <w:p w14:paraId="5E70053C" w14:textId="2006EA16"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1,57</w:t>
            </w:r>
          </w:p>
        </w:tc>
        <w:tc>
          <w:tcPr>
            <w:tcW w:w="1596" w:type="dxa"/>
            <w:tcBorders>
              <w:top w:val="nil"/>
              <w:left w:val="nil"/>
              <w:bottom w:val="single" w:sz="4" w:space="0" w:color="auto"/>
              <w:right w:val="single" w:sz="4" w:space="0" w:color="auto"/>
            </w:tcBorders>
            <w:noWrap/>
            <w:hideMark/>
          </w:tcPr>
          <w:p w14:paraId="0A85BE98" w14:textId="2720B296"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0,62</w:t>
            </w:r>
          </w:p>
        </w:tc>
        <w:tc>
          <w:tcPr>
            <w:tcW w:w="1039" w:type="dxa"/>
            <w:tcBorders>
              <w:top w:val="nil"/>
              <w:left w:val="nil"/>
              <w:bottom w:val="single" w:sz="4" w:space="0" w:color="auto"/>
              <w:right w:val="single" w:sz="4" w:space="0" w:color="auto"/>
            </w:tcBorders>
            <w:noWrap/>
            <w:vAlign w:val="bottom"/>
            <w:hideMark/>
          </w:tcPr>
          <w:p w14:paraId="47ED80FE" w14:textId="77777777"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w:t>
            </w:r>
          </w:p>
        </w:tc>
        <w:tc>
          <w:tcPr>
            <w:tcW w:w="1303" w:type="dxa"/>
            <w:tcBorders>
              <w:top w:val="nil"/>
              <w:left w:val="nil"/>
              <w:bottom w:val="single" w:sz="4" w:space="0" w:color="auto"/>
              <w:right w:val="single" w:sz="4" w:space="0" w:color="auto"/>
            </w:tcBorders>
            <w:noWrap/>
            <w:hideMark/>
          </w:tcPr>
          <w:p w14:paraId="7D7A7DD1" w14:textId="4BC7DED6"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1,29</w:t>
            </w:r>
          </w:p>
        </w:tc>
        <w:tc>
          <w:tcPr>
            <w:tcW w:w="1303" w:type="dxa"/>
            <w:tcBorders>
              <w:top w:val="nil"/>
              <w:left w:val="nil"/>
              <w:bottom w:val="single" w:sz="4" w:space="0" w:color="auto"/>
              <w:right w:val="single" w:sz="4" w:space="0" w:color="auto"/>
            </w:tcBorders>
            <w:noWrap/>
            <w:hideMark/>
          </w:tcPr>
          <w:p w14:paraId="5F39AA31" w14:textId="053F9EFA"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4,91</w:t>
            </w:r>
          </w:p>
        </w:tc>
      </w:tr>
      <w:tr w:rsidR="006E1F29" w:rsidRPr="00272255" w14:paraId="5DC31ACA" w14:textId="77777777" w:rsidTr="00C816B0">
        <w:trPr>
          <w:trHeight w:val="300"/>
        </w:trPr>
        <w:tc>
          <w:tcPr>
            <w:tcW w:w="2320" w:type="dxa"/>
            <w:tcBorders>
              <w:top w:val="nil"/>
              <w:left w:val="single" w:sz="4" w:space="0" w:color="auto"/>
              <w:bottom w:val="single" w:sz="4" w:space="0" w:color="auto"/>
              <w:right w:val="single" w:sz="4" w:space="0" w:color="auto"/>
            </w:tcBorders>
            <w:noWrap/>
            <w:vAlign w:val="bottom"/>
            <w:hideMark/>
          </w:tcPr>
          <w:p w14:paraId="21C83B5E" w14:textId="77777777"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MINIMO</w:t>
            </w:r>
          </w:p>
        </w:tc>
        <w:tc>
          <w:tcPr>
            <w:tcW w:w="1180" w:type="dxa"/>
            <w:tcBorders>
              <w:top w:val="nil"/>
              <w:left w:val="nil"/>
              <w:bottom w:val="single" w:sz="4" w:space="0" w:color="auto"/>
              <w:right w:val="single" w:sz="4" w:space="0" w:color="auto"/>
            </w:tcBorders>
            <w:noWrap/>
            <w:hideMark/>
          </w:tcPr>
          <w:p w14:paraId="199A4750" w14:textId="29B27F55"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w:t>
            </w:r>
          </w:p>
        </w:tc>
        <w:tc>
          <w:tcPr>
            <w:tcW w:w="1596" w:type="dxa"/>
            <w:tcBorders>
              <w:top w:val="nil"/>
              <w:left w:val="nil"/>
              <w:bottom w:val="single" w:sz="4" w:space="0" w:color="auto"/>
              <w:right w:val="single" w:sz="4" w:space="0" w:color="auto"/>
            </w:tcBorders>
            <w:noWrap/>
            <w:hideMark/>
          </w:tcPr>
          <w:p w14:paraId="4EAE8A73" w14:textId="5A4CD04C"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w:t>
            </w:r>
          </w:p>
        </w:tc>
        <w:tc>
          <w:tcPr>
            <w:tcW w:w="1039" w:type="dxa"/>
            <w:tcBorders>
              <w:top w:val="nil"/>
              <w:left w:val="nil"/>
              <w:bottom w:val="single" w:sz="4" w:space="0" w:color="auto"/>
              <w:right w:val="single" w:sz="4" w:space="0" w:color="auto"/>
            </w:tcBorders>
            <w:noWrap/>
            <w:vAlign w:val="bottom"/>
            <w:hideMark/>
          </w:tcPr>
          <w:p w14:paraId="19023512" w14:textId="77777777"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 </w:t>
            </w:r>
          </w:p>
        </w:tc>
        <w:tc>
          <w:tcPr>
            <w:tcW w:w="1303" w:type="dxa"/>
            <w:tcBorders>
              <w:top w:val="nil"/>
              <w:left w:val="nil"/>
              <w:bottom w:val="single" w:sz="4" w:space="0" w:color="auto"/>
              <w:right w:val="single" w:sz="4" w:space="0" w:color="auto"/>
            </w:tcBorders>
            <w:noWrap/>
            <w:hideMark/>
          </w:tcPr>
          <w:p w14:paraId="04BABE79" w14:textId="4DBC9866"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-17,28</w:t>
            </w:r>
          </w:p>
        </w:tc>
        <w:tc>
          <w:tcPr>
            <w:tcW w:w="1303" w:type="dxa"/>
            <w:tcBorders>
              <w:top w:val="nil"/>
              <w:left w:val="nil"/>
              <w:bottom w:val="single" w:sz="4" w:space="0" w:color="auto"/>
              <w:right w:val="single" w:sz="4" w:space="0" w:color="auto"/>
            </w:tcBorders>
            <w:noWrap/>
            <w:hideMark/>
          </w:tcPr>
          <w:p w14:paraId="0B29CDA6" w14:textId="74C27E4F" w:rsidR="006E1F29" w:rsidRPr="00272255" w:rsidRDefault="006E1F29" w:rsidP="00660911">
            <w:pPr>
              <w:pStyle w:val="Prrafodelista"/>
              <w:numPr>
                <w:ilvl w:val="0"/>
                <w:numId w:val="22"/>
              </w:numPr>
              <w:autoSpaceDE w:val="0"/>
              <w:autoSpaceDN w:val="0"/>
              <w:jc w:val="both"/>
              <w:rPr>
                <w:rFonts w:ascii="Century Gothic" w:hAnsi="Century Gothic" w:cs="Arial"/>
                <w:kern w:val="0"/>
                <w:sz w:val="20"/>
                <w:szCs w:val="20"/>
                <w:highlight w:val="yellow"/>
              </w:rPr>
            </w:pPr>
            <w:r w:rsidRPr="00272255">
              <w:rPr>
                <w:rFonts w:ascii="Century Gothic" w:hAnsi="Century Gothic" w:cs="Arial"/>
                <w:kern w:val="0"/>
                <w:sz w:val="20"/>
                <w:szCs w:val="20"/>
                <w:highlight w:val="yellow"/>
              </w:rPr>
              <w:t>-1,34</w:t>
            </w:r>
          </w:p>
        </w:tc>
      </w:tr>
      <w:tr w:rsidR="006E1F29" w:rsidRPr="00272255" w14:paraId="7FA192A2" w14:textId="77777777" w:rsidTr="00C816B0">
        <w:trPr>
          <w:trHeight w:val="300"/>
        </w:trPr>
        <w:tc>
          <w:tcPr>
            <w:tcW w:w="2320" w:type="dxa"/>
            <w:tcBorders>
              <w:top w:val="nil"/>
              <w:left w:val="single" w:sz="4" w:space="0" w:color="auto"/>
              <w:bottom w:val="single" w:sz="4" w:space="0" w:color="auto"/>
              <w:right w:val="single" w:sz="4" w:space="0" w:color="auto"/>
            </w:tcBorders>
            <w:noWrap/>
            <w:vAlign w:val="bottom"/>
            <w:hideMark/>
          </w:tcPr>
          <w:p w14:paraId="20E7AE25"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MAXIMO</w:t>
            </w:r>
          </w:p>
        </w:tc>
        <w:tc>
          <w:tcPr>
            <w:tcW w:w="1180" w:type="dxa"/>
            <w:tcBorders>
              <w:top w:val="nil"/>
              <w:left w:val="nil"/>
              <w:bottom w:val="single" w:sz="4" w:space="0" w:color="auto"/>
              <w:right w:val="single" w:sz="4" w:space="0" w:color="auto"/>
            </w:tcBorders>
            <w:noWrap/>
            <w:hideMark/>
          </w:tcPr>
          <w:p w14:paraId="73109775" w14:textId="01BE0644"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8,37</w:t>
            </w:r>
          </w:p>
        </w:tc>
        <w:tc>
          <w:tcPr>
            <w:tcW w:w="1596" w:type="dxa"/>
            <w:tcBorders>
              <w:top w:val="nil"/>
              <w:left w:val="nil"/>
              <w:bottom w:val="single" w:sz="4" w:space="0" w:color="auto"/>
              <w:right w:val="single" w:sz="4" w:space="0" w:color="auto"/>
            </w:tcBorders>
            <w:noWrap/>
            <w:hideMark/>
          </w:tcPr>
          <w:p w14:paraId="5E8F516C" w14:textId="5B65DD95"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1,65</w:t>
            </w:r>
          </w:p>
        </w:tc>
        <w:tc>
          <w:tcPr>
            <w:tcW w:w="1039" w:type="dxa"/>
            <w:tcBorders>
              <w:top w:val="nil"/>
              <w:left w:val="nil"/>
              <w:bottom w:val="single" w:sz="4" w:space="0" w:color="auto"/>
              <w:right w:val="single" w:sz="4" w:space="0" w:color="auto"/>
            </w:tcBorders>
            <w:noWrap/>
            <w:vAlign w:val="bottom"/>
            <w:hideMark/>
          </w:tcPr>
          <w:p w14:paraId="3B33880F"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 </w:t>
            </w:r>
          </w:p>
        </w:tc>
        <w:tc>
          <w:tcPr>
            <w:tcW w:w="1303" w:type="dxa"/>
            <w:tcBorders>
              <w:top w:val="nil"/>
              <w:left w:val="nil"/>
              <w:bottom w:val="single" w:sz="4" w:space="0" w:color="auto"/>
              <w:right w:val="single" w:sz="4" w:space="0" w:color="auto"/>
            </w:tcBorders>
            <w:noWrap/>
            <w:hideMark/>
          </w:tcPr>
          <w:p w14:paraId="42F76989" w14:textId="50907FE9"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70,39</w:t>
            </w:r>
          </w:p>
        </w:tc>
        <w:tc>
          <w:tcPr>
            <w:tcW w:w="1303" w:type="dxa"/>
            <w:tcBorders>
              <w:top w:val="nil"/>
              <w:left w:val="nil"/>
              <w:bottom w:val="single" w:sz="4" w:space="0" w:color="auto"/>
              <w:right w:val="single" w:sz="4" w:space="0" w:color="auto"/>
            </w:tcBorders>
            <w:noWrap/>
            <w:hideMark/>
          </w:tcPr>
          <w:p w14:paraId="28988E8D" w14:textId="69D0AEEF"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120,76</w:t>
            </w:r>
          </w:p>
        </w:tc>
      </w:tr>
      <w:tr w:rsidR="006E1F29" w:rsidRPr="00272255" w14:paraId="3D482D40" w14:textId="77777777" w:rsidTr="00C816B0">
        <w:trPr>
          <w:trHeight w:val="300"/>
        </w:trPr>
        <w:tc>
          <w:tcPr>
            <w:tcW w:w="2320" w:type="dxa"/>
            <w:tcBorders>
              <w:top w:val="nil"/>
              <w:left w:val="single" w:sz="4" w:space="0" w:color="auto"/>
              <w:bottom w:val="single" w:sz="4" w:space="0" w:color="auto"/>
              <w:right w:val="single" w:sz="4" w:space="0" w:color="auto"/>
            </w:tcBorders>
            <w:noWrap/>
            <w:vAlign w:val="bottom"/>
            <w:hideMark/>
          </w:tcPr>
          <w:p w14:paraId="748341C4"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MEDIANA</w:t>
            </w:r>
          </w:p>
        </w:tc>
        <w:tc>
          <w:tcPr>
            <w:tcW w:w="1180" w:type="dxa"/>
            <w:tcBorders>
              <w:top w:val="nil"/>
              <w:left w:val="nil"/>
              <w:bottom w:val="single" w:sz="4" w:space="0" w:color="auto"/>
              <w:right w:val="single" w:sz="4" w:space="0" w:color="auto"/>
            </w:tcBorders>
            <w:noWrap/>
            <w:hideMark/>
          </w:tcPr>
          <w:p w14:paraId="6A7EF237" w14:textId="7BC33609"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1,17</w:t>
            </w:r>
          </w:p>
        </w:tc>
        <w:tc>
          <w:tcPr>
            <w:tcW w:w="1596" w:type="dxa"/>
            <w:tcBorders>
              <w:top w:val="nil"/>
              <w:left w:val="nil"/>
              <w:bottom w:val="single" w:sz="4" w:space="0" w:color="auto"/>
              <w:right w:val="single" w:sz="4" w:space="0" w:color="auto"/>
            </w:tcBorders>
            <w:noWrap/>
            <w:hideMark/>
          </w:tcPr>
          <w:p w14:paraId="231F051E" w14:textId="0A0A16ED"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0,69</w:t>
            </w:r>
          </w:p>
        </w:tc>
        <w:tc>
          <w:tcPr>
            <w:tcW w:w="1039" w:type="dxa"/>
            <w:tcBorders>
              <w:top w:val="nil"/>
              <w:left w:val="nil"/>
              <w:bottom w:val="single" w:sz="4" w:space="0" w:color="auto"/>
              <w:right w:val="single" w:sz="4" w:space="0" w:color="auto"/>
            </w:tcBorders>
            <w:noWrap/>
            <w:vAlign w:val="bottom"/>
            <w:hideMark/>
          </w:tcPr>
          <w:p w14:paraId="78142144"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 </w:t>
            </w:r>
          </w:p>
        </w:tc>
        <w:tc>
          <w:tcPr>
            <w:tcW w:w="1303" w:type="dxa"/>
            <w:tcBorders>
              <w:top w:val="nil"/>
              <w:left w:val="nil"/>
              <w:bottom w:val="single" w:sz="4" w:space="0" w:color="auto"/>
              <w:right w:val="single" w:sz="4" w:space="0" w:color="auto"/>
            </w:tcBorders>
            <w:noWrap/>
            <w:hideMark/>
          </w:tcPr>
          <w:p w14:paraId="374D37F2" w14:textId="4626AAEC"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0,29</w:t>
            </w:r>
          </w:p>
        </w:tc>
        <w:tc>
          <w:tcPr>
            <w:tcW w:w="1303" w:type="dxa"/>
            <w:tcBorders>
              <w:top w:val="nil"/>
              <w:left w:val="nil"/>
              <w:bottom w:val="single" w:sz="4" w:space="0" w:color="auto"/>
              <w:right w:val="single" w:sz="4" w:space="0" w:color="auto"/>
            </w:tcBorders>
            <w:noWrap/>
            <w:hideMark/>
          </w:tcPr>
          <w:p w14:paraId="28681DB3" w14:textId="307D9BF8"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0,09</w:t>
            </w:r>
          </w:p>
        </w:tc>
      </w:tr>
      <w:tr w:rsidR="006E1F29" w:rsidRPr="00FA7341" w14:paraId="6E716C75" w14:textId="77777777" w:rsidTr="00C816B0">
        <w:trPr>
          <w:trHeight w:val="300"/>
        </w:trPr>
        <w:tc>
          <w:tcPr>
            <w:tcW w:w="2320" w:type="dxa"/>
            <w:tcBorders>
              <w:top w:val="nil"/>
              <w:left w:val="single" w:sz="4" w:space="0" w:color="auto"/>
              <w:bottom w:val="single" w:sz="4" w:space="0" w:color="auto"/>
              <w:right w:val="single" w:sz="4" w:space="0" w:color="auto"/>
            </w:tcBorders>
            <w:noWrap/>
            <w:vAlign w:val="bottom"/>
            <w:hideMark/>
          </w:tcPr>
          <w:p w14:paraId="14FCC632"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DESVIACIÓN ESTANDAR</w:t>
            </w:r>
          </w:p>
        </w:tc>
        <w:tc>
          <w:tcPr>
            <w:tcW w:w="1180" w:type="dxa"/>
            <w:tcBorders>
              <w:top w:val="nil"/>
              <w:left w:val="nil"/>
              <w:bottom w:val="single" w:sz="4" w:space="0" w:color="auto"/>
              <w:right w:val="single" w:sz="4" w:space="0" w:color="auto"/>
            </w:tcBorders>
            <w:noWrap/>
            <w:hideMark/>
          </w:tcPr>
          <w:p w14:paraId="404C2CC1" w14:textId="25A8EEF7"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1,55</w:t>
            </w:r>
          </w:p>
        </w:tc>
        <w:tc>
          <w:tcPr>
            <w:tcW w:w="1596" w:type="dxa"/>
            <w:tcBorders>
              <w:top w:val="nil"/>
              <w:left w:val="nil"/>
              <w:bottom w:val="single" w:sz="4" w:space="0" w:color="auto"/>
              <w:right w:val="single" w:sz="4" w:space="0" w:color="auto"/>
            </w:tcBorders>
            <w:noWrap/>
            <w:hideMark/>
          </w:tcPr>
          <w:p w14:paraId="455DB19E" w14:textId="5FD232E7"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0,36</w:t>
            </w:r>
          </w:p>
        </w:tc>
        <w:tc>
          <w:tcPr>
            <w:tcW w:w="1039" w:type="dxa"/>
            <w:tcBorders>
              <w:top w:val="nil"/>
              <w:left w:val="nil"/>
              <w:bottom w:val="single" w:sz="4" w:space="0" w:color="auto"/>
              <w:right w:val="single" w:sz="4" w:space="0" w:color="auto"/>
            </w:tcBorders>
            <w:noWrap/>
            <w:vAlign w:val="bottom"/>
            <w:hideMark/>
          </w:tcPr>
          <w:p w14:paraId="3673DB82" w14:textId="77777777" w:rsidR="006E1F29" w:rsidRPr="00272255" w:rsidRDefault="006E1F29" w:rsidP="006E1F29">
            <w:pPr>
              <w:spacing w:after="0" w:line="240" w:lineRule="auto"/>
              <w:rPr>
                <w:rFonts w:ascii="Century Gothic" w:eastAsia="Times New Roman" w:hAnsi="Century Gothic" w:cs="Calibri"/>
                <w:color w:val="000000"/>
                <w:kern w:val="0"/>
                <w:sz w:val="20"/>
                <w:szCs w:val="20"/>
                <w:highlight w:val="yellow"/>
                <w:lang w:eastAsia="es-CO"/>
              </w:rPr>
            </w:pPr>
            <w:r w:rsidRPr="00272255">
              <w:rPr>
                <w:rFonts w:ascii="Century Gothic" w:eastAsia="Times New Roman" w:hAnsi="Century Gothic" w:cs="Calibri"/>
                <w:color w:val="000000"/>
                <w:kern w:val="0"/>
                <w:sz w:val="20"/>
                <w:szCs w:val="20"/>
                <w:highlight w:val="yellow"/>
                <w:lang w:eastAsia="es-CO"/>
              </w:rPr>
              <w:t> </w:t>
            </w:r>
          </w:p>
        </w:tc>
        <w:tc>
          <w:tcPr>
            <w:tcW w:w="1303" w:type="dxa"/>
            <w:tcBorders>
              <w:top w:val="nil"/>
              <w:left w:val="nil"/>
              <w:bottom w:val="single" w:sz="4" w:space="0" w:color="auto"/>
              <w:right w:val="single" w:sz="4" w:space="0" w:color="auto"/>
            </w:tcBorders>
            <w:noWrap/>
            <w:hideMark/>
          </w:tcPr>
          <w:p w14:paraId="15B8CD4A" w14:textId="184F9DDB" w:rsidR="006E1F29" w:rsidRPr="00272255" w:rsidRDefault="006E1F29" w:rsidP="006E1F29">
            <w:pPr>
              <w:spacing w:after="0" w:line="240" w:lineRule="auto"/>
              <w:jc w:val="center"/>
              <w:rPr>
                <w:rFonts w:ascii="Century Gothic" w:eastAsia="Times New Roman" w:hAnsi="Century Gothic" w:cs="Calibri"/>
                <w:color w:val="000000"/>
                <w:kern w:val="0"/>
                <w:sz w:val="20"/>
                <w:szCs w:val="20"/>
                <w:highlight w:val="yellow"/>
                <w:lang w:eastAsia="es-CO"/>
              </w:rPr>
            </w:pPr>
            <w:r w:rsidRPr="00272255">
              <w:rPr>
                <w:rFonts w:ascii="Century Gothic" w:hAnsi="Century Gothic"/>
                <w:sz w:val="20"/>
                <w:szCs w:val="20"/>
                <w:highlight w:val="yellow"/>
              </w:rPr>
              <w:t>10,24</w:t>
            </w:r>
          </w:p>
        </w:tc>
        <w:tc>
          <w:tcPr>
            <w:tcW w:w="1303" w:type="dxa"/>
            <w:tcBorders>
              <w:top w:val="nil"/>
              <w:left w:val="nil"/>
              <w:bottom w:val="single" w:sz="4" w:space="0" w:color="auto"/>
              <w:right w:val="single" w:sz="4" w:space="0" w:color="auto"/>
            </w:tcBorders>
            <w:noWrap/>
            <w:hideMark/>
          </w:tcPr>
          <w:p w14:paraId="6DA85929" w14:textId="595A6956" w:rsidR="006E1F29" w:rsidRPr="00FA7341" w:rsidRDefault="006E1F29" w:rsidP="006E1F29">
            <w:pPr>
              <w:spacing w:after="0" w:line="240" w:lineRule="auto"/>
              <w:jc w:val="center"/>
              <w:rPr>
                <w:rFonts w:ascii="Century Gothic" w:eastAsia="Times New Roman" w:hAnsi="Century Gothic" w:cs="Calibri"/>
                <w:color w:val="000000"/>
                <w:kern w:val="0"/>
                <w:sz w:val="20"/>
                <w:szCs w:val="20"/>
                <w:lang w:eastAsia="es-CO"/>
              </w:rPr>
            </w:pPr>
            <w:r w:rsidRPr="00272255">
              <w:rPr>
                <w:rFonts w:ascii="Century Gothic" w:hAnsi="Century Gothic"/>
                <w:sz w:val="20"/>
                <w:szCs w:val="20"/>
                <w:highlight w:val="yellow"/>
              </w:rPr>
              <w:t>18,38</w:t>
            </w:r>
          </w:p>
        </w:tc>
      </w:tr>
    </w:tbl>
    <w:p w14:paraId="105ABA5F" w14:textId="77777777" w:rsidR="00DA39D0" w:rsidRPr="00FA7341" w:rsidRDefault="00DA39D0" w:rsidP="00DA39D0">
      <w:pPr>
        <w:autoSpaceDE w:val="0"/>
        <w:autoSpaceDN w:val="0"/>
        <w:jc w:val="center"/>
        <w:rPr>
          <w:rFonts w:ascii="Century Gothic" w:hAnsi="Century Gothic" w:cs="Arial"/>
          <w:color w:val="000000"/>
          <w:sz w:val="20"/>
          <w:szCs w:val="20"/>
        </w:rPr>
      </w:pPr>
      <w:r w:rsidRPr="00FA7341">
        <w:rPr>
          <w:rStyle w:val="Hipervnculo"/>
          <w:rFonts w:ascii="Century Gothic" w:hAnsi="Century Gothic"/>
          <w:sz w:val="20"/>
          <w:szCs w:val="20"/>
        </w:rPr>
        <w:t xml:space="preserve">Fuente: </w:t>
      </w:r>
      <w:hyperlink r:id="rId29" w:anchor="/massivereports" w:history="1">
        <w:r w:rsidRPr="00FA7341">
          <w:rPr>
            <w:rStyle w:val="Hipervnculo"/>
            <w:rFonts w:ascii="Century Gothic" w:hAnsi="Century Gothic"/>
            <w:sz w:val="20"/>
            <w:szCs w:val="20"/>
          </w:rPr>
          <w:t>SIIS - /</w:t>
        </w:r>
        <w:proofErr w:type="spellStart"/>
        <w:r w:rsidRPr="00FA7341">
          <w:rPr>
            <w:rStyle w:val="Hipervnculo"/>
            <w:rFonts w:ascii="Century Gothic" w:hAnsi="Century Gothic"/>
            <w:sz w:val="20"/>
            <w:szCs w:val="20"/>
          </w:rPr>
          <w:t>massivereports</w:t>
        </w:r>
        <w:proofErr w:type="spellEnd"/>
        <w:r w:rsidRPr="00FA7341">
          <w:rPr>
            <w:rStyle w:val="Hipervnculo"/>
            <w:rFonts w:ascii="Century Gothic" w:hAnsi="Century Gothic"/>
            <w:sz w:val="20"/>
            <w:szCs w:val="20"/>
          </w:rPr>
          <w:t xml:space="preserve"> (supersociedades.gov.co)</w:t>
        </w:r>
      </w:hyperlink>
      <w:r w:rsidRPr="00FA7341">
        <w:rPr>
          <w:rStyle w:val="Hipervnculo"/>
          <w:rFonts w:ascii="Century Gothic" w:hAnsi="Century Gothic"/>
          <w:sz w:val="20"/>
          <w:szCs w:val="20"/>
        </w:rPr>
        <w:t xml:space="preserve">  </w:t>
      </w:r>
      <w:r w:rsidRPr="00FA7341">
        <w:rPr>
          <w:rFonts w:ascii="Century Gothic" w:hAnsi="Century Gothic" w:cs="Arial"/>
          <w:color w:val="000000"/>
          <w:sz w:val="20"/>
          <w:szCs w:val="20"/>
        </w:rPr>
        <w:t>Elaborado: (Departamento de Cundinamarca)</w:t>
      </w:r>
    </w:p>
    <w:p w14:paraId="03AC775A" w14:textId="77777777" w:rsidR="00DA39D0" w:rsidRPr="00FA7341" w:rsidRDefault="00DA39D0" w:rsidP="00DA39D0">
      <w:pPr>
        <w:jc w:val="center"/>
        <w:rPr>
          <w:rFonts w:ascii="Century Gothic" w:hAnsi="Century Gothic" w:cs="Arial"/>
          <w:b/>
          <w:bCs/>
          <w:i/>
          <w:iCs/>
          <w:color w:val="FF0000"/>
          <w:sz w:val="24"/>
          <w:szCs w:val="24"/>
          <w:u w:val="single"/>
        </w:rPr>
      </w:pPr>
    </w:p>
    <w:p w14:paraId="0A6B6AF3"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hAnsi="Century Gothic" w:cs="Arial"/>
          <w:noProof/>
          <w:color w:val="FFFFFF"/>
          <w:sz w:val="24"/>
          <w:szCs w:val="24"/>
          <w:lang w:val="es-ES" w:eastAsia="es-ES"/>
        </w:rPr>
      </w:pPr>
      <w:bookmarkStart w:id="58" w:name="_Toc175899044"/>
      <w:bookmarkStart w:id="59" w:name="_Toc176249345"/>
      <w:bookmarkStart w:id="60" w:name="_Toc176249358"/>
      <w:bookmarkStart w:id="61" w:name="_Toc176249482"/>
      <w:bookmarkStart w:id="62" w:name="_Toc176250904"/>
      <w:bookmarkStart w:id="63" w:name="_Toc176618207"/>
      <w:bookmarkStart w:id="64" w:name="_Toc179188725"/>
      <w:bookmarkStart w:id="65" w:name="_Toc232673908"/>
      <w:r w:rsidRPr="00FA7341">
        <w:rPr>
          <w:rFonts w:ascii="Century Gothic" w:hAnsi="Century Gothic" w:cs="Arial"/>
          <w:noProof/>
          <w:color w:val="FFFFFF"/>
          <w:sz w:val="24"/>
          <w:szCs w:val="24"/>
          <w:lang w:val="es-ES" w:eastAsia="es-ES"/>
        </w:rPr>
        <w:t>Indicador de Liquidez</w:t>
      </w:r>
      <w:bookmarkEnd w:id="58"/>
      <w:bookmarkEnd w:id="59"/>
      <w:bookmarkEnd w:id="60"/>
      <w:bookmarkEnd w:id="61"/>
      <w:bookmarkEnd w:id="62"/>
      <w:bookmarkEnd w:id="63"/>
      <w:bookmarkEnd w:id="64"/>
      <w:bookmarkEnd w:id="65"/>
    </w:p>
    <w:p w14:paraId="55F2A90B" w14:textId="77777777" w:rsidR="00DA39D0" w:rsidRPr="00FA7341" w:rsidRDefault="00DA39D0" w:rsidP="00DA39D0">
      <w:pPr>
        <w:jc w:val="both"/>
        <w:rPr>
          <w:rFonts w:ascii="Century Gothic" w:eastAsia="Batang" w:hAnsi="Century Gothic" w:cs="Arial"/>
          <w:sz w:val="24"/>
          <w:szCs w:val="24"/>
        </w:rPr>
      </w:pPr>
    </w:p>
    <w:p w14:paraId="04752FE4" w14:textId="77777777" w:rsidR="006E1F29" w:rsidRPr="00FA7341" w:rsidRDefault="006E1F29" w:rsidP="006E1F29">
      <w:pPr>
        <w:jc w:val="both"/>
        <w:rPr>
          <w:rFonts w:ascii="Century Gothic" w:eastAsia="Batang" w:hAnsi="Century Gothic" w:cs="Arial"/>
        </w:rPr>
      </w:pPr>
      <w:r w:rsidRPr="00FA7341">
        <w:rPr>
          <w:rFonts w:ascii="Century Gothic" w:eastAsia="Batang" w:hAnsi="Century Gothic" w:cs="Arial"/>
        </w:rPr>
        <w:t>No obstante, para efectos de la verificación del requisito habilitante, la Entidad evaluará el indicador de liquidez reportado en el Registro Único de Proponentes (RUP) correspondiente al último año fiscal certificado.</w:t>
      </w:r>
    </w:p>
    <w:p w14:paraId="07577186" w14:textId="77777777" w:rsidR="006E1F29" w:rsidRPr="00FA7341" w:rsidRDefault="006E1F29" w:rsidP="006E1F29">
      <w:pPr>
        <w:jc w:val="both"/>
        <w:rPr>
          <w:rFonts w:ascii="Century Gothic" w:eastAsia="Batang" w:hAnsi="Century Gothic" w:cs="Arial"/>
        </w:rPr>
      </w:pPr>
      <w:r w:rsidRPr="00FA7341">
        <w:rPr>
          <w:rFonts w:ascii="Century Gothic" w:eastAsia="Batang" w:hAnsi="Century Gothic" w:cs="Arial"/>
        </w:rPr>
        <w:t>Con base en el análisis estadístico de los indicadores financieros de la muestra evaluada, se evidencia que el índice de liquidez presenta un promedio de 1,57 y una mediana de 1,17, lo cual indica que más del 50 % de las empresas analizadas cuentan con una capacidad aceptable para atender sus obligaciones de corto plazo con los activos corrientes disponibles.</w:t>
      </w:r>
    </w:p>
    <w:p w14:paraId="779A505A" w14:textId="77777777" w:rsidR="006E1F29" w:rsidRPr="00FA7341" w:rsidRDefault="006E1F29" w:rsidP="006E1F29">
      <w:pPr>
        <w:jc w:val="both"/>
        <w:rPr>
          <w:rFonts w:ascii="Century Gothic" w:eastAsia="Batang" w:hAnsi="Century Gothic" w:cs="Arial"/>
        </w:rPr>
      </w:pPr>
      <w:r w:rsidRPr="00FA7341">
        <w:rPr>
          <w:rFonts w:ascii="Century Gothic" w:eastAsia="Batang" w:hAnsi="Century Gothic" w:cs="Arial"/>
        </w:rPr>
        <w:t>Así mismo, se observa un valor máximo de 8,37, que incide directamente en una desviación estándar de 1,55, reflejando una dispersión moderada de los datos dentro de la muestra analizada, producto de diferencias en el tamaño, estructura financiera y modelo operativo de las empresas.</w:t>
      </w:r>
    </w:p>
    <w:p w14:paraId="65BA38F5" w14:textId="77777777" w:rsidR="006E1F29" w:rsidRPr="00FA7341" w:rsidRDefault="006E1F29" w:rsidP="006E1F29">
      <w:pPr>
        <w:jc w:val="both"/>
        <w:rPr>
          <w:rFonts w:ascii="Century Gothic" w:eastAsia="Batang" w:hAnsi="Century Gothic" w:cs="Arial"/>
        </w:rPr>
      </w:pPr>
      <w:r w:rsidRPr="00FA7341">
        <w:rPr>
          <w:rFonts w:ascii="Century Gothic" w:eastAsia="Batang" w:hAnsi="Century Gothic" w:cs="Arial"/>
        </w:rPr>
        <w:lastRenderedPageBreak/>
        <w:t>En este contexto, y considerando que la mediana constituye una medida más representativa del comportamiento central de la muestra frente a la presencia de valores extremos, se considera técnicamente adecuado adoptar este valor como referencia para la definición del requisito habilitante.</w:t>
      </w:r>
    </w:p>
    <w:p w14:paraId="7D4A32C3" w14:textId="5F35BBCD" w:rsidR="006E1F29" w:rsidRPr="00FA7341" w:rsidRDefault="006E1F29" w:rsidP="006E1F29">
      <w:pPr>
        <w:jc w:val="both"/>
        <w:rPr>
          <w:rFonts w:ascii="Century Gothic" w:eastAsia="Batang" w:hAnsi="Century Gothic" w:cs="Arial"/>
        </w:rPr>
      </w:pPr>
      <w:r w:rsidRPr="00FA7341">
        <w:rPr>
          <w:rFonts w:ascii="Century Gothic" w:eastAsia="Batang" w:hAnsi="Century Gothic" w:cs="Arial"/>
        </w:rPr>
        <w:t xml:space="preserve">En virtud de lo anterior, se determina que el índice de liquidez mínimo exigido para el presente proceso será igual o </w:t>
      </w:r>
      <w:r w:rsidRPr="00272255">
        <w:rPr>
          <w:rFonts w:ascii="Century Gothic" w:eastAsia="Batang" w:hAnsi="Century Gothic" w:cs="Arial"/>
          <w:highlight w:val="yellow"/>
        </w:rPr>
        <w:t xml:space="preserve">superior a </w:t>
      </w:r>
      <w:r w:rsidRPr="00272255">
        <w:rPr>
          <w:rFonts w:ascii="Century Gothic" w:eastAsia="Batang" w:hAnsi="Century Gothic" w:cs="Arial"/>
          <w:b/>
          <w:bCs/>
          <w:highlight w:val="yellow"/>
        </w:rPr>
        <w:t>1,10</w:t>
      </w:r>
      <w:r w:rsidRPr="00272255">
        <w:rPr>
          <w:rFonts w:ascii="Century Gothic" w:eastAsia="Batang" w:hAnsi="Century Gothic" w:cs="Arial"/>
          <w:highlight w:val="yellow"/>
        </w:rPr>
        <w:t>, valor</w:t>
      </w:r>
      <w:r w:rsidRPr="00FA7341">
        <w:rPr>
          <w:rFonts w:ascii="Century Gothic" w:eastAsia="Batang" w:hAnsi="Century Gothic" w:cs="Arial"/>
        </w:rPr>
        <w:t xml:space="preserve"> que permite acreditar una adecuada capacidad de pago en el corto plazo, garantizando la participación de proponentes financieramente solventes sin generar restricciones injustificadas a la pluralidad de oferentes.</w:t>
      </w:r>
    </w:p>
    <w:p w14:paraId="4401FF14" w14:textId="279F48EB"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hAnsi="Century Gothic" w:cs="Arial"/>
          <w:noProof/>
          <w:color w:val="FFFFFF"/>
          <w:sz w:val="24"/>
          <w:szCs w:val="24"/>
          <w:lang w:val="es-ES" w:eastAsia="es-ES"/>
        </w:rPr>
      </w:pPr>
      <w:bookmarkStart w:id="66" w:name="_Toc175899045"/>
      <w:bookmarkStart w:id="67" w:name="_Toc176249346"/>
      <w:bookmarkStart w:id="68" w:name="_Toc176249359"/>
      <w:bookmarkStart w:id="69" w:name="_Toc176249483"/>
      <w:bookmarkStart w:id="70" w:name="_Toc176250905"/>
      <w:bookmarkStart w:id="71" w:name="_Toc176618208"/>
      <w:bookmarkStart w:id="72" w:name="_Toc179188726"/>
      <w:bookmarkStart w:id="73" w:name="_Toc232673909"/>
      <w:r w:rsidRPr="00FA7341">
        <w:rPr>
          <w:rFonts w:ascii="Century Gothic" w:hAnsi="Century Gothic" w:cs="Arial"/>
          <w:noProof/>
          <w:color w:val="FFFFFF"/>
          <w:sz w:val="24"/>
          <w:szCs w:val="24"/>
          <w:lang w:val="es-ES" w:eastAsia="es-ES"/>
        </w:rPr>
        <w:t>Indicador de Nivel de Endeudamiento</w:t>
      </w:r>
      <w:bookmarkEnd w:id="66"/>
      <w:bookmarkEnd w:id="67"/>
      <w:bookmarkEnd w:id="68"/>
      <w:bookmarkEnd w:id="69"/>
      <w:bookmarkEnd w:id="70"/>
      <w:bookmarkEnd w:id="71"/>
      <w:bookmarkEnd w:id="72"/>
      <w:bookmarkEnd w:id="73"/>
    </w:p>
    <w:p w14:paraId="1BA38540" w14:textId="77777777" w:rsidR="00DA39D0" w:rsidRPr="00FA7341" w:rsidRDefault="00DA39D0" w:rsidP="00DA39D0">
      <w:pPr>
        <w:jc w:val="both"/>
        <w:rPr>
          <w:rFonts w:ascii="Century Gothic" w:eastAsia="Batang" w:hAnsi="Century Gothic" w:cs="Arial"/>
          <w:sz w:val="24"/>
          <w:szCs w:val="24"/>
        </w:rPr>
      </w:pPr>
    </w:p>
    <w:p w14:paraId="384B2A43"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El nivel de endeudamiento refleja el grado de apalancamiento financiero de una empresa y corresponde a la proporción de los activos que se encuentran financiados con recursos de terceros. Este indicador permite evaluar la participación de los acreedores dentro de la estructura financiera de la organización y el nivel de riesgo asociado al cumplimiento de sus obligaciones.</w:t>
      </w:r>
    </w:p>
    <w:p w14:paraId="5F56A37A"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De acuerdo con el análisis estadístico de la muestra evaluada, el nivel de endeudamiento presenta un promedio de 0,62 (62 %) y una mediana de 0,69 (69 %), lo cual indica que una proporción importante de las empresas analizadas financia más de la mitad de sus activos mediante recursos de terceros.</w:t>
      </w:r>
    </w:p>
    <w:p w14:paraId="04271BEC"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Así mismo, se observa un valor máximo de 1,65, situación que explica la desviación estándar de 0,36, evidenciando una dispersión moderada en el comportamiento financiero de las empresas analizadas.</w:t>
      </w:r>
    </w:p>
    <w:p w14:paraId="64A5E9EF"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En consideración a lo anterior, y teniendo en cuenta que la mediana constituye una medida más representativa del comportamiento central del mercado, resulta técnicamente razonable establecer un umbral que permita identificar proponentes con una estructura financiera equilibrada, sin restringir de manera injustificada la participación.</w:t>
      </w:r>
    </w:p>
    <w:p w14:paraId="05DBB9D1" w14:textId="0C4230AC"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 xml:space="preserve">En virtud de lo expuesto, se determina que el nivel de endeudamiento para el presente proceso deberá ser igual o </w:t>
      </w:r>
      <w:r w:rsidRPr="00272255">
        <w:rPr>
          <w:rFonts w:ascii="Century Gothic" w:eastAsia="Batang" w:hAnsi="Century Gothic" w:cs="Arial"/>
          <w:highlight w:val="yellow"/>
        </w:rPr>
        <w:t>inferior a 0,75,</w:t>
      </w:r>
      <w:r w:rsidRPr="00FA7341">
        <w:rPr>
          <w:rFonts w:ascii="Century Gothic" w:eastAsia="Batang" w:hAnsi="Century Gothic" w:cs="Arial"/>
        </w:rPr>
        <w:t xml:space="preserve"> garantizando un adecuado equilibrio financiero de los proponentes, mitigando riesgos asociados a un sobreendeudamiento y promoviendo la pluralidad de oferentes sin afectar la sostenibilidad del contrato.</w:t>
      </w:r>
    </w:p>
    <w:p w14:paraId="5CD6F9ED"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eastAsia="Batang" w:hAnsi="Century Gothic" w:cs="Arial"/>
          <w:b w:val="0"/>
          <w:bCs w:val="0"/>
          <w:color w:val="auto"/>
        </w:rPr>
      </w:pPr>
      <w:bookmarkStart w:id="74" w:name="_Toc175899046"/>
      <w:bookmarkStart w:id="75" w:name="_Toc176249347"/>
      <w:bookmarkStart w:id="76" w:name="_Toc176249360"/>
      <w:bookmarkStart w:id="77" w:name="_Toc176249484"/>
      <w:bookmarkStart w:id="78" w:name="_Toc176250906"/>
      <w:bookmarkStart w:id="79" w:name="_Toc176618209"/>
      <w:bookmarkStart w:id="80" w:name="_Toc179188727"/>
      <w:bookmarkStart w:id="81" w:name="_Toc232673910"/>
      <w:r w:rsidRPr="00FA7341">
        <w:rPr>
          <w:rFonts w:ascii="Century Gothic" w:eastAsia="Batang" w:hAnsi="Century Gothic" w:cs="Arial"/>
          <w:b w:val="0"/>
          <w:bCs w:val="0"/>
          <w:color w:val="auto"/>
        </w:rPr>
        <w:lastRenderedPageBreak/>
        <w:t>Razón de Cobertura de Interés</w:t>
      </w:r>
      <w:bookmarkEnd w:id="74"/>
      <w:bookmarkEnd w:id="75"/>
      <w:bookmarkEnd w:id="76"/>
      <w:bookmarkEnd w:id="77"/>
      <w:bookmarkEnd w:id="78"/>
      <w:bookmarkEnd w:id="79"/>
      <w:bookmarkEnd w:id="80"/>
      <w:bookmarkEnd w:id="81"/>
    </w:p>
    <w:p w14:paraId="3E3EF09C" w14:textId="77777777" w:rsidR="00DA39D0" w:rsidRPr="00FA7341" w:rsidRDefault="00DA39D0" w:rsidP="00DA39D0">
      <w:pPr>
        <w:ind w:right="51"/>
        <w:jc w:val="both"/>
        <w:rPr>
          <w:rFonts w:ascii="Century Gothic" w:eastAsia="Batang" w:hAnsi="Century Gothic" w:cs="Arial"/>
        </w:rPr>
      </w:pPr>
    </w:p>
    <w:p w14:paraId="0FA15FA6" w14:textId="77777777" w:rsidR="00DA39D0" w:rsidRPr="00FA7341" w:rsidRDefault="00DA39D0" w:rsidP="00DA39D0">
      <w:pPr>
        <w:ind w:right="51"/>
        <w:jc w:val="both"/>
        <w:rPr>
          <w:rFonts w:ascii="Century Gothic" w:eastAsia="Batang" w:hAnsi="Century Gothic" w:cs="Arial"/>
        </w:rPr>
      </w:pPr>
      <w:r w:rsidRPr="00FA7341">
        <w:rPr>
          <w:rFonts w:ascii="Century Gothic" w:eastAsia="Batang" w:hAnsi="Century Gothic" w:cs="Arial"/>
        </w:rPr>
        <w:t>La naturaleza de este indicador es medir el grado de protección a los acreedores e inversionista a largo plazo, es decir, que refleja la capacidad del proponente de con sus obligaciones financieras.</w:t>
      </w:r>
    </w:p>
    <w:p w14:paraId="3CDF2804" w14:textId="77777777" w:rsidR="00DA39D0" w:rsidRPr="00FA7341" w:rsidRDefault="00DA39D0" w:rsidP="00DA39D0">
      <w:pPr>
        <w:ind w:right="51"/>
        <w:jc w:val="both"/>
        <w:rPr>
          <w:rFonts w:ascii="Century Gothic" w:eastAsia="Batang" w:hAnsi="Century Gothic" w:cs="Arial"/>
        </w:rPr>
      </w:pPr>
      <w:r w:rsidRPr="00FA7341">
        <w:rPr>
          <w:rFonts w:ascii="Century Gothic" w:eastAsia="Batang" w:hAnsi="Century Gothic" w:cs="Arial"/>
        </w:rPr>
        <w:t>Para el presente proceso, se estableció como criterio que la razón de cobertura de intereses sea igual o superior a 1, lo cual indica que el proponente genera ingresos operacionales suficientes para cubrir sus gastos financieros. Así mismo, se determinó que los proponentes que no registren gastos por intereses se considerarán habilitados respecto de este indicador, en la medida en que dicha condición refleja la inexistencia de obligaciones financieras que comprometan su capacidad de pago.</w:t>
      </w:r>
    </w:p>
    <w:p w14:paraId="7AA08A03" w14:textId="4BBA6D0C" w:rsidR="00DA39D0" w:rsidRPr="00FA7341" w:rsidRDefault="00DA39D0" w:rsidP="00DA39D0">
      <w:pPr>
        <w:spacing w:after="0"/>
        <w:jc w:val="both"/>
        <w:rPr>
          <w:rFonts w:ascii="Century Gothic" w:eastAsia="Batang" w:hAnsi="Century Gothic" w:cs="Arial"/>
        </w:rPr>
      </w:pPr>
    </w:p>
    <w:p w14:paraId="7BDB9DE8"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hAnsi="Century Gothic" w:cs="Arial"/>
          <w:noProof/>
          <w:color w:val="FFFFFF"/>
          <w:sz w:val="24"/>
          <w:szCs w:val="24"/>
          <w:lang w:val="es-ES" w:eastAsia="es-ES"/>
        </w:rPr>
      </w:pPr>
      <w:bookmarkStart w:id="82" w:name="_Toc175899047"/>
      <w:bookmarkStart w:id="83" w:name="_Toc176249348"/>
      <w:bookmarkStart w:id="84" w:name="_Toc176249361"/>
      <w:bookmarkStart w:id="85" w:name="_Toc176249485"/>
      <w:bookmarkStart w:id="86" w:name="_Toc176250907"/>
      <w:bookmarkStart w:id="87" w:name="_Toc176618211"/>
      <w:bookmarkStart w:id="88" w:name="_Toc179188729"/>
      <w:bookmarkStart w:id="89" w:name="_Toc232673911"/>
      <w:r w:rsidRPr="00FA7341">
        <w:rPr>
          <w:rFonts w:ascii="Century Gothic" w:hAnsi="Century Gothic" w:cs="Arial"/>
          <w:noProof/>
          <w:color w:val="FFFFFF"/>
          <w:sz w:val="24"/>
          <w:szCs w:val="24"/>
          <w:lang w:val="es-ES" w:eastAsia="es-ES"/>
        </w:rPr>
        <w:t>Capacidad Organizacional</w:t>
      </w:r>
      <w:bookmarkEnd w:id="82"/>
      <w:bookmarkEnd w:id="83"/>
      <w:bookmarkEnd w:id="84"/>
      <w:bookmarkEnd w:id="85"/>
      <w:bookmarkEnd w:id="86"/>
      <w:bookmarkEnd w:id="87"/>
      <w:bookmarkEnd w:id="88"/>
      <w:bookmarkEnd w:id="89"/>
    </w:p>
    <w:p w14:paraId="3345C132" w14:textId="77777777" w:rsidR="00DA39D0" w:rsidRPr="00FA7341" w:rsidRDefault="00DA39D0" w:rsidP="00DA39D0">
      <w:pPr>
        <w:jc w:val="both"/>
        <w:rPr>
          <w:rFonts w:ascii="Century Gothic" w:eastAsia="Batang" w:hAnsi="Century Gothic" w:cs="Arial"/>
          <w:sz w:val="24"/>
          <w:szCs w:val="24"/>
          <w:lang w:val="es-ES"/>
        </w:rPr>
      </w:pPr>
    </w:p>
    <w:p w14:paraId="16117502" w14:textId="77777777" w:rsidR="00DA39D0" w:rsidRPr="00FA7341" w:rsidRDefault="00DA39D0" w:rsidP="00DA39D0">
      <w:pPr>
        <w:jc w:val="both"/>
        <w:rPr>
          <w:rFonts w:ascii="Century Gothic" w:eastAsia="Batang" w:hAnsi="Century Gothic" w:cs="Arial"/>
        </w:rPr>
      </w:pPr>
      <w:r w:rsidRPr="00FA7341">
        <w:rPr>
          <w:rFonts w:ascii="Century Gothic" w:eastAsia="Batang" w:hAnsi="Century Gothic" w:cs="Arial"/>
        </w:rPr>
        <w:t>Frente a la verificación de la CAPACIDAD ORGANIZACIONAL, la cual se establece en el artículo 2.2.1.1.1.5.3 del Decreto 1082 de 2015 en su numeral 4 como indicadores para medir el rendimiento de las inversiones y la eficiencia en el uso de activos.</w:t>
      </w:r>
    </w:p>
    <w:p w14:paraId="36C27909" w14:textId="77777777" w:rsidR="00DA39D0" w:rsidRPr="00FA7341" w:rsidRDefault="00DA39D0" w:rsidP="00DA39D0">
      <w:pPr>
        <w:jc w:val="both"/>
        <w:rPr>
          <w:rFonts w:ascii="Century Gothic" w:eastAsia="Batang" w:hAnsi="Century Gothic" w:cs="Arial"/>
        </w:rPr>
      </w:pPr>
      <w:r w:rsidRPr="00FA7341">
        <w:rPr>
          <w:rFonts w:ascii="Century Gothic" w:eastAsia="Batang" w:hAnsi="Century Gothic" w:cs="Arial"/>
        </w:rPr>
        <w:t>Vale la pena resaltar que estos indicadores de rentabilidad del activo y del patrimonio, se utilizan para observar cual es el real margen de rentabilidad de los accionistas con relación a su inversión. Este valor, es más un indicador para análisis interno de los oferentes, toda vez que éste les permite comparar el valor obtenido con el costo de oportunidad, es decir con otras alternativas de inversión posibles del mercado.</w:t>
      </w:r>
    </w:p>
    <w:p w14:paraId="5DAA27A8" w14:textId="77777777" w:rsidR="00DA39D0" w:rsidRPr="00FA7341" w:rsidRDefault="00DA39D0" w:rsidP="00DA39D0">
      <w:pPr>
        <w:jc w:val="both"/>
        <w:rPr>
          <w:rFonts w:ascii="Century Gothic" w:eastAsia="Batang" w:hAnsi="Century Gothic" w:cs="Arial"/>
        </w:rPr>
      </w:pPr>
      <w:r w:rsidRPr="00FA7341">
        <w:rPr>
          <w:rFonts w:ascii="Century Gothic" w:eastAsia="Batang" w:hAnsi="Century Gothic" w:cs="Arial"/>
        </w:rPr>
        <w:t>Entre tanto, los índices de Capacidad organizacional son definidos como la “aptitud de un proponente para cumplir oportuna y cabalmente con el objeto del contrato, en función de su organización interna</w:t>
      </w:r>
      <w:r w:rsidRPr="00FA7341">
        <w:rPr>
          <w:rFonts w:ascii="Century Gothic" w:eastAsia="Batang" w:hAnsi="Century Gothic" w:cs="Arial"/>
        </w:rPr>
        <w:footnoteReference w:id="4"/>
      </w:r>
      <w:r w:rsidRPr="00FA7341">
        <w:rPr>
          <w:rFonts w:ascii="Century Gothic" w:eastAsia="Batang" w:hAnsi="Century Gothic" w:cs="Arial"/>
        </w:rPr>
        <w:t xml:space="preserve">”. De lo anterior, vale la pena resaltar que los indicadores de rentabilidad del activo y del patrimonio, se utilizan para observar cual es el margen real de rentabilidad de los accionistas con relación a su inversión. Este valor, es más un indicador para análisis interno de los oferentes, toda vez que éste les permite comparar el valor obtenido con el costo de oportunidad, es decir con otras alternativas de inversión posibles del </w:t>
      </w:r>
      <w:r w:rsidRPr="00FA7341">
        <w:rPr>
          <w:rFonts w:ascii="Century Gothic" w:eastAsia="Batang" w:hAnsi="Century Gothic" w:cs="Arial"/>
        </w:rPr>
        <w:lastRenderedPageBreak/>
        <w:t>mercado</w:t>
      </w:r>
      <w:r w:rsidRPr="00FA7341">
        <w:rPr>
          <w:rFonts w:ascii="Century Gothic" w:eastAsia="Batang" w:hAnsi="Century Gothic" w:cs="Arial"/>
        </w:rPr>
        <w:footnoteReference w:id="5"/>
      </w:r>
      <w:r w:rsidRPr="00FA7341">
        <w:rPr>
          <w:rFonts w:ascii="Century Gothic" w:eastAsia="Batang" w:hAnsi="Century Gothic" w:cs="Arial"/>
        </w:rPr>
        <w:t>.Adicionalmente es importante tener en cuenta que, al calcular la rentabilidad del activo, éstos se encuentran por lo general a datos históricos, de ahí también se puede determinar que se deben valorar los activos a precios de mercado y tener en cuenta solo activos operativos.</w:t>
      </w:r>
    </w:p>
    <w:p w14:paraId="63C04C9E"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eastAsia="Batang" w:hAnsi="Century Gothic" w:cs="Arial"/>
          <w:b w:val="0"/>
          <w:bCs w:val="0"/>
          <w:color w:val="auto"/>
        </w:rPr>
      </w:pPr>
      <w:bookmarkStart w:id="90" w:name="_Toc175899048"/>
      <w:bookmarkStart w:id="91" w:name="_Toc176249349"/>
      <w:bookmarkStart w:id="92" w:name="_Toc176249362"/>
      <w:bookmarkStart w:id="93" w:name="_Toc176249486"/>
      <w:bookmarkStart w:id="94" w:name="_Toc176250908"/>
      <w:bookmarkStart w:id="95" w:name="_Toc176618212"/>
      <w:bookmarkStart w:id="96" w:name="_Toc179188730"/>
      <w:bookmarkStart w:id="97" w:name="_Toc232673912"/>
      <w:r w:rsidRPr="00FA7341">
        <w:rPr>
          <w:rFonts w:ascii="Century Gothic" w:eastAsia="Batang" w:hAnsi="Century Gothic" w:cs="Arial"/>
          <w:b w:val="0"/>
          <w:bCs w:val="0"/>
          <w:color w:val="auto"/>
        </w:rPr>
        <w:t>RENTABILIDAD DEL PATRIMONIO:</w:t>
      </w:r>
      <w:bookmarkEnd w:id="90"/>
      <w:bookmarkEnd w:id="91"/>
      <w:bookmarkEnd w:id="92"/>
      <w:bookmarkEnd w:id="93"/>
      <w:bookmarkEnd w:id="94"/>
      <w:bookmarkEnd w:id="95"/>
      <w:bookmarkEnd w:id="96"/>
      <w:bookmarkEnd w:id="97"/>
    </w:p>
    <w:p w14:paraId="63483B83" w14:textId="77777777" w:rsidR="00DA39D0" w:rsidRPr="00FA7341" w:rsidRDefault="00DA39D0" w:rsidP="00DA39D0">
      <w:pPr>
        <w:jc w:val="both"/>
        <w:rPr>
          <w:rFonts w:ascii="Century Gothic" w:eastAsia="Batang" w:hAnsi="Century Gothic" w:cs="Arial"/>
        </w:rPr>
      </w:pPr>
    </w:p>
    <w:p w14:paraId="31A14ABA"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La rentabilidad del patrimonio (ROE) mide la capacidad de una empresa para generar utilidades a partir de los recursos aportados por los accionistas, reflejando el rendimiento obtenido sobre los fondos propios invertidos en la operación.</w:t>
      </w:r>
    </w:p>
    <w:p w14:paraId="44698AEA"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El análisis estadístico de la muestra evaluada evidencia un comportamiento heterogéneo del indicador, con presencia de valores extremos que afectan la dispersión de los resultados. En particular, la rentabilidad del patrimonio presenta un promedio de 1,29 y una mediana de 0,29 (29 %), lo cual indica que más del 50 % de las empresas analizadas generan utilidades positivas sobre los recursos propios.</w:t>
      </w:r>
    </w:p>
    <w:p w14:paraId="2E53268D"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Así mismo, se evidencia la existencia de valores negativos atípicos con un mínimo de -17,28, así como un valor máximo de 70,39, situación que explica la desviación estándar de 10,24, reflejando una alta variabilidad asociada a diferencias en tamaño, estructura financiera, condiciones operativas y nivel de apalancamiento de las empresas.</w:t>
      </w:r>
    </w:p>
    <w:p w14:paraId="1BEC746A"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En este contexto, y considerando que la mediana constituye una medida más representativa del comportamiento central de la muestra frente a la presencia de valores extremos, se considera técnicamente adecuado establecer un umbral mínimo que permita verificar la capacidad del proponente para generar utilidades con recursos propios.</w:t>
      </w:r>
    </w:p>
    <w:p w14:paraId="593AB4AA" w14:textId="77777777" w:rsidR="008963A6" w:rsidRPr="00FA7341" w:rsidRDefault="008963A6" w:rsidP="008963A6">
      <w:pPr>
        <w:jc w:val="both"/>
        <w:rPr>
          <w:rFonts w:ascii="Century Gothic" w:eastAsia="Batang" w:hAnsi="Century Gothic" w:cs="Arial"/>
        </w:rPr>
      </w:pPr>
    </w:p>
    <w:p w14:paraId="2B743B40" w14:textId="26297F21" w:rsidR="00DA39D0" w:rsidRPr="00FA7341" w:rsidRDefault="008963A6" w:rsidP="008963A6">
      <w:pPr>
        <w:jc w:val="both"/>
        <w:rPr>
          <w:rFonts w:ascii="Century Gothic" w:eastAsia="Batang" w:hAnsi="Century Gothic" w:cs="Arial"/>
        </w:rPr>
      </w:pPr>
      <w:r w:rsidRPr="00FA7341">
        <w:rPr>
          <w:rFonts w:ascii="Century Gothic" w:eastAsia="Batang" w:hAnsi="Century Gothic" w:cs="Arial"/>
        </w:rPr>
        <w:t xml:space="preserve">Con fundamento en los resultados obtenidos y atendiendo el principio de proporcionalidad, se determina que el requisito de rentabilidad del patrimonio para el presente proceso deberá ser </w:t>
      </w:r>
      <w:r w:rsidRPr="00A014F9">
        <w:rPr>
          <w:rFonts w:ascii="Century Gothic" w:eastAsia="Batang" w:hAnsi="Century Gothic" w:cs="Arial"/>
          <w:highlight w:val="yellow"/>
        </w:rPr>
        <w:t>igual o superior a 0,10,</w:t>
      </w:r>
      <w:r w:rsidRPr="00FA7341">
        <w:rPr>
          <w:rFonts w:ascii="Century Gothic" w:eastAsia="Batang" w:hAnsi="Century Gothic" w:cs="Arial"/>
        </w:rPr>
        <w:t xml:space="preserve"> valor que permite acreditar una adecuada generación de resultados sobre el patrimonio sin restringir injustificadamente la participación de oferentes.</w:t>
      </w:r>
    </w:p>
    <w:p w14:paraId="2511BF7F" w14:textId="77777777" w:rsidR="00DA39D0" w:rsidRPr="00FA7341" w:rsidRDefault="00DA39D0" w:rsidP="00DA39D0">
      <w:pPr>
        <w:jc w:val="both"/>
        <w:rPr>
          <w:rFonts w:ascii="Century Gothic" w:eastAsia="Batang" w:hAnsi="Century Gothic" w:cs="Arial"/>
        </w:rPr>
      </w:pPr>
    </w:p>
    <w:p w14:paraId="34EC3C49"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eastAsia="Batang" w:hAnsi="Century Gothic" w:cs="Arial"/>
          <w:b w:val="0"/>
          <w:bCs w:val="0"/>
          <w:color w:val="auto"/>
        </w:rPr>
      </w:pPr>
      <w:bookmarkStart w:id="98" w:name="_Toc175899049"/>
      <w:bookmarkStart w:id="99" w:name="_Toc176249350"/>
      <w:bookmarkStart w:id="100" w:name="_Toc176249363"/>
      <w:bookmarkStart w:id="101" w:name="_Toc176249487"/>
      <w:bookmarkStart w:id="102" w:name="_Toc176250909"/>
      <w:bookmarkStart w:id="103" w:name="_Toc176618213"/>
      <w:bookmarkStart w:id="104" w:name="_Toc179188731"/>
      <w:bookmarkStart w:id="105" w:name="_Toc232673913"/>
      <w:r w:rsidRPr="00FA7341">
        <w:rPr>
          <w:rFonts w:ascii="Century Gothic" w:eastAsia="Batang" w:hAnsi="Century Gothic" w:cs="Arial"/>
          <w:b w:val="0"/>
          <w:bCs w:val="0"/>
          <w:color w:val="auto"/>
        </w:rPr>
        <w:lastRenderedPageBreak/>
        <w:t>RENTABILIDAD DEL ACTIVO:</w:t>
      </w:r>
      <w:bookmarkEnd w:id="98"/>
      <w:bookmarkEnd w:id="99"/>
      <w:bookmarkEnd w:id="100"/>
      <w:bookmarkEnd w:id="101"/>
      <w:bookmarkEnd w:id="102"/>
      <w:bookmarkEnd w:id="103"/>
      <w:bookmarkEnd w:id="104"/>
      <w:bookmarkEnd w:id="105"/>
    </w:p>
    <w:p w14:paraId="65D18B7E" w14:textId="77777777" w:rsidR="00DA39D0" w:rsidRPr="00FA7341" w:rsidRDefault="00DA39D0" w:rsidP="00DA39D0">
      <w:pPr>
        <w:autoSpaceDE w:val="0"/>
        <w:autoSpaceDN w:val="0"/>
        <w:jc w:val="both"/>
        <w:rPr>
          <w:rFonts w:ascii="Century Gothic" w:eastAsia="Batang" w:hAnsi="Century Gothic" w:cs="Arial"/>
        </w:rPr>
      </w:pPr>
    </w:p>
    <w:p w14:paraId="5E49A21C"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La rentabilidad del activo (ROA) mide la capacidad de una empresa para generar utilidades a partir del total de sus activos, independientemente de la forma en que estos se encuentren financiados.</w:t>
      </w:r>
    </w:p>
    <w:p w14:paraId="3CFD5568"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Del análisis estadístico de la información correspondiente a la muestra evaluada, se observa que la rentabilidad del activo presenta un promedio de 4,91 y una mediana de 0,09 (9 %), lo cual indica que más del 50 % de las empresas analizadas generan utilidades positivas en relación con los activos utilizados en su operación.</w:t>
      </w:r>
    </w:p>
    <w:p w14:paraId="00542FB1"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Así mismo, se evidencian valores negativos con un mínimo de -1,34, así como un valor máximo de 120,76, situación que incide en una desviación estándar de 18,38, reflejando una alta dispersión asociada a diferencias en eficiencia operativa, estructura de costos y características particulares de cada empresa.</w:t>
      </w:r>
    </w:p>
    <w:p w14:paraId="437E6D8C" w14:textId="77777777" w:rsidR="008963A6" w:rsidRPr="00FA7341" w:rsidRDefault="008963A6" w:rsidP="008963A6">
      <w:pPr>
        <w:jc w:val="both"/>
        <w:rPr>
          <w:rFonts w:ascii="Century Gothic" w:eastAsia="Batang" w:hAnsi="Century Gothic" w:cs="Arial"/>
        </w:rPr>
      </w:pPr>
      <w:r w:rsidRPr="00FA7341">
        <w:rPr>
          <w:rFonts w:ascii="Century Gothic" w:eastAsia="Batang" w:hAnsi="Century Gothic" w:cs="Arial"/>
        </w:rPr>
        <w:t>En este contexto, y considerando que la mediana constituye una medida más representativa del comportamiento central de la muestra frente a la presencia de valores extremos, resulta técnicamente adecuado establecer un umbral mínimo que permita verificar la eficiencia en el uso de los activos.</w:t>
      </w:r>
    </w:p>
    <w:p w14:paraId="1E8660A7" w14:textId="3C0FE2FE" w:rsidR="00DA39D0" w:rsidRPr="00FA7341" w:rsidRDefault="008963A6" w:rsidP="008963A6">
      <w:pPr>
        <w:jc w:val="both"/>
        <w:rPr>
          <w:rFonts w:ascii="Century Gothic" w:eastAsia="Batang" w:hAnsi="Century Gothic" w:cs="Arial"/>
        </w:rPr>
      </w:pPr>
      <w:r w:rsidRPr="00FA7341">
        <w:rPr>
          <w:rFonts w:ascii="Century Gothic" w:eastAsia="Batang" w:hAnsi="Century Gothic" w:cs="Arial"/>
        </w:rPr>
        <w:t xml:space="preserve">Con fundamento en los resultados obtenidos y atendiendo el principio de proporcionalidad, se determina que el requisito de rentabilidad del activo para el presente proceso deberá ser </w:t>
      </w:r>
      <w:r w:rsidRPr="00A014F9">
        <w:rPr>
          <w:rFonts w:ascii="Century Gothic" w:eastAsia="Batang" w:hAnsi="Century Gothic" w:cs="Arial"/>
          <w:highlight w:val="yellow"/>
        </w:rPr>
        <w:t>igual o superior a 0,05,</w:t>
      </w:r>
      <w:r w:rsidRPr="00FA7341">
        <w:rPr>
          <w:rFonts w:ascii="Century Gothic" w:eastAsia="Batang" w:hAnsi="Century Gothic" w:cs="Arial"/>
        </w:rPr>
        <w:t xml:space="preserve"> valor que permite acreditar una adecuada eficiencia en el uso de los activos, garantizando la participación de oferentes financieramente viables sin afectar la pluralidad ni la sostenibilidad de la ejecución contractual.</w:t>
      </w:r>
    </w:p>
    <w:p w14:paraId="2436A8C2" w14:textId="77777777" w:rsidR="00DA39D0" w:rsidRPr="00FA7341" w:rsidRDefault="00DA39D0" w:rsidP="00DA39D0">
      <w:pPr>
        <w:pStyle w:val="Ttulo3"/>
        <w:numPr>
          <w:ilvl w:val="1"/>
          <w:numId w:val="13"/>
        </w:numPr>
        <w:pBdr>
          <w:top w:val="single" w:sz="4" w:space="1" w:color="auto"/>
          <w:left w:val="single" w:sz="4" w:space="4" w:color="auto"/>
          <w:bottom w:val="single" w:sz="4" w:space="1" w:color="auto"/>
          <w:right w:val="single" w:sz="4" w:space="4" w:color="auto"/>
        </w:pBdr>
        <w:shd w:val="clear" w:color="auto" w:fill="002060"/>
        <w:ind w:left="1440"/>
        <w:contextualSpacing/>
        <w:rPr>
          <w:rFonts w:ascii="Century Gothic" w:eastAsia="Batang" w:hAnsi="Century Gothic" w:cs="Arial"/>
          <w:b w:val="0"/>
          <w:bCs w:val="0"/>
          <w:color w:val="auto"/>
        </w:rPr>
      </w:pPr>
      <w:bookmarkStart w:id="106" w:name="_Toc175899050"/>
      <w:bookmarkStart w:id="107" w:name="_Toc176249351"/>
      <w:bookmarkStart w:id="108" w:name="_Toc176249364"/>
      <w:bookmarkStart w:id="109" w:name="_Toc176249488"/>
      <w:bookmarkStart w:id="110" w:name="_Toc176250910"/>
      <w:bookmarkStart w:id="111" w:name="_Toc176618214"/>
      <w:bookmarkStart w:id="112" w:name="_Toc179188732"/>
      <w:bookmarkStart w:id="113" w:name="_Toc232673914"/>
      <w:r w:rsidRPr="00FA7341">
        <w:rPr>
          <w:rFonts w:ascii="Century Gothic" w:eastAsia="Batang" w:hAnsi="Century Gothic" w:cs="Arial"/>
          <w:b w:val="0"/>
          <w:bCs w:val="0"/>
          <w:color w:val="auto"/>
        </w:rPr>
        <w:t>Indicadores Para Capacidad Financiera Y Organizacional A Requerir Para Esta Contratación.</w:t>
      </w:r>
      <w:bookmarkEnd w:id="106"/>
      <w:bookmarkEnd w:id="107"/>
      <w:bookmarkEnd w:id="108"/>
      <w:bookmarkEnd w:id="109"/>
      <w:bookmarkEnd w:id="110"/>
      <w:bookmarkEnd w:id="111"/>
      <w:bookmarkEnd w:id="112"/>
      <w:bookmarkEnd w:id="113"/>
    </w:p>
    <w:p w14:paraId="5FF4D5E5" w14:textId="77777777" w:rsidR="00DA39D0" w:rsidRPr="00FA7341" w:rsidRDefault="00DA39D0" w:rsidP="00DA39D0">
      <w:pPr>
        <w:pStyle w:val="Descripcin"/>
        <w:jc w:val="center"/>
        <w:rPr>
          <w:rFonts w:ascii="Century Gothic" w:eastAsia="Batang" w:hAnsi="Century Gothic" w:cs="Arial"/>
          <w:b w:val="0"/>
          <w:bCs w:val="0"/>
          <w:sz w:val="22"/>
          <w:szCs w:val="22"/>
        </w:rPr>
      </w:pPr>
      <w:bookmarkStart w:id="114" w:name="_Toc179188781"/>
    </w:p>
    <w:p w14:paraId="4EBE8D9A" w14:textId="0871E08D" w:rsidR="00DA39D0" w:rsidRPr="00FA7341" w:rsidRDefault="00DA39D0" w:rsidP="00DA39D0">
      <w:pPr>
        <w:pStyle w:val="Descripcin"/>
        <w:jc w:val="center"/>
        <w:rPr>
          <w:rFonts w:ascii="Century Gothic" w:eastAsia="Batang" w:hAnsi="Century Gothic" w:cs="Arial"/>
          <w:b w:val="0"/>
          <w:bCs w:val="0"/>
          <w:sz w:val="22"/>
          <w:szCs w:val="22"/>
        </w:rPr>
      </w:pPr>
      <w:bookmarkStart w:id="115" w:name="_Toc192773264"/>
      <w:r w:rsidRPr="00FA7341">
        <w:rPr>
          <w:rFonts w:ascii="Century Gothic" w:eastAsia="Batang" w:hAnsi="Century Gothic" w:cs="Arial"/>
          <w:b w:val="0"/>
          <w:bCs w:val="0"/>
          <w:sz w:val="22"/>
          <w:szCs w:val="22"/>
        </w:rPr>
        <w:t xml:space="preserve">Tabla </w:t>
      </w:r>
      <w:r w:rsidRPr="00FA7341">
        <w:rPr>
          <w:rFonts w:ascii="Century Gothic" w:eastAsia="Batang" w:hAnsi="Century Gothic" w:cs="Arial"/>
          <w:b w:val="0"/>
          <w:bCs w:val="0"/>
          <w:sz w:val="22"/>
          <w:szCs w:val="22"/>
        </w:rPr>
        <w:fldChar w:fldCharType="begin"/>
      </w:r>
      <w:r w:rsidRPr="00FA7341">
        <w:rPr>
          <w:rFonts w:ascii="Century Gothic" w:eastAsia="Batang" w:hAnsi="Century Gothic" w:cs="Arial"/>
          <w:b w:val="0"/>
          <w:bCs w:val="0"/>
          <w:sz w:val="22"/>
          <w:szCs w:val="22"/>
        </w:rPr>
        <w:instrText xml:space="preserve"> SEQ Tabla \* ARABIC </w:instrText>
      </w:r>
      <w:r w:rsidRPr="00FA7341">
        <w:rPr>
          <w:rFonts w:ascii="Century Gothic" w:eastAsia="Batang" w:hAnsi="Century Gothic" w:cs="Arial"/>
          <w:b w:val="0"/>
          <w:bCs w:val="0"/>
          <w:sz w:val="22"/>
          <w:szCs w:val="22"/>
        </w:rPr>
        <w:fldChar w:fldCharType="separate"/>
      </w:r>
      <w:r w:rsidR="00030ED5" w:rsidRPr="00FA7341">
        <w:rPr>
          <w:rFonts w:ascii="Century Gothic" w:eastAsia="Batang" w:hAnsi="Century Gothic" w:cs="Arial"/>
          <w:b w:val="0"/>
          <w:bCs w:val="0"/>
          <w:noProof/>
          <w:sz w:val="22"/>
          <w:szCs w:val="22"/>
        </w:rPr>
        <w:t>8</w:t>
      </w:r>
      <w:r w:rsidRPr="00FA7341">
        <w:rPr>
          <w:rFonts w:ascii="Century Gothic" w:eastAsia="Batang" w:hAnsi="Century Gothic" w:cs="Arial"/>
          <w:b w:val="0"/>
          <w:bCs w:val="0"/>
          <w:sz w:val="22"/>
          <w:szCs w:val="22"/>
        </w:rPr>
        <w:fldChar w:fldCharType="end"/>
      </w:r>
      <w:r w:rsidRPr="00FA7341">
        <w:rPr>
          <w:rFonts w:ascii="Century Gothic" w:eastAsia="Batang" w:hAnsi="Century Gothic" w:cs="Arial"/>
          <w:b w:val="0"/>
          <w:bCs w:val="0"/>
          <w:sz w:val="22"/>
          <w:szCs w:val="22"/>
        </w:rPr>
        <w:t xml:space="preserve"> Indicadores financieros y organizacionales a exigir</w:t>
      </w:r>
      <w:bookmarkEnd w:id="114"/>
      <w:bookmarkEnd w:id="115"/>
    </w:p>
    <w:tbl>
      <w:tblPr>
        <w:tblW w:w="5290" w:type="pct"/>
        <w:jc w:val="center"/>
        <w:tblCellMar>
          <w:left w:w="0" w:type="dxa"/>
          <w:right w:w="0" w:type="dxa"/>
        </w:tblCellMar>
        <w:tblLook w:val="04A0" w:firstRow="1" w:lastRow="0" w:firstColumn="1" w:lastColumn="0" w:noHBand="0" w:noVBand="1"/>
      </w:tblPr>
      <w:tblGrid>
        <w:gridCol w:w="2067"/>
        <w:gridCol w:w="4921"/>
        <w:gridCol w:w="2341"/>
      </w:tblGrid>
      <w:tr w:rsidR="008963A6" w:rsidRPr="00272255" w14:paraId="647343B8" w14:textId="77777777" w:rsidTr="008963A6">
        <w:trPr>
          <w:trHeight w:val="37"/>
          <w:tblHeader/>
          <w:jc w:val="center"/>
        </w:trPr>
        <w:tc>
          <w:tcPr>
            <w:tcW w:w="1061" w:type="pct"/>
            <w:tcBorders>
              <w:top w:val="single" w:sz="8" w:space="0" w:color="auto"/>
              <w:left w:val="single" w:sz="8" w:space="0" w:color="auto"/>
              <w:bottom w:val="single" w:sz="8" w:space="0" w:color="auto"/>
              <w:right w:val="single" w:sz="8" w:space="0" w:color="auto"/>
            </w:tcBorders>
            <w:shd w:val="clear" w:color="auto" w:fill="002060"/>
            <w:tcMar>
              <w:top w:w="0" w:type="dxa"/>
              <w:left w:w="108" w:type="dxa"/>
              <w:bottom w:w="0" w:type="dxa"/>
              <w:right w:w="108" w:type="dxa"/>
            </w:tcMar>
            <w:vAlign w:val="center"/>
          </w:tcPr>
          <w:p w14:paraId="7F4B3DDC" w14:textId="3B4A1DE5"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INDICADOR</w:t>
            </w:r>
          </w:p>
        </w:tc>
        <w:tc>
          <w:tcPr>
            <w:tcW w:w="2661" w:type="pct"/>
            <w:tcBorders>
              <w:top w:val="single" w:sz="8" w:space="0" w:color="auto"/>
              <w:left w:val="nil"/>
              <w:bottom w:val="single" w:sz="8" w:space="0" w:color="auto"/>
              <w:right w:val="single" w:sz="8" w:space="0" w:color="auto"/>
            </w:tcBorders>
            <w:shd w:val="clear" w:color="auto" w:fill="002060"/>
            <w:tcMar>
              <w:top w:w="0" w:type="dxa"/>
              <w:left w:w="108" w:type="dxa"/>
              <w:bottom w:w="0" w:type="dxa"/>
              <w:right w:w="108" w:type="dxa"/>
            </w:tcMar>
            <w:vAlign w:val="center"/>
          </w:tcPr>
          <w:p w14:paraId="049116DD" w14:textId="2569A50C"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CRITERIO</w:t>
            </w:r>
          </w:p>
        </w:tc>
        <w:tc>
          <w:tcPr>
            <w:tcW w:w="1278" w:type="pct"/>
            <w:tcBorders>
              <w:top w:val="single" w:sz="8" w:space="0" w:color="auto"/>
              <w:left w:val="nil"/>
              <w:bottom w:val="single" w:sz="8" w:space="0" w:color="auto"/>
              <w:right w:val="single" w:sz="8" w:space="0" w:color="auto"/>
            </w:tcBorders>
            <w:shd w:val="clear" w:color="auto" w:fill="002060"/>
            <w:tcMar>
              <w:top w:w="0" w:type="dxa"/>
              <w:left w:w="108" w:type="dxa"/>
              <w:bottom w:w="0" w:type="dxa"/>
              <w:right w:w="108" w:type="dxa"/>
            </w:tcMar>
            <w:vAlign w:val="center"/>
          </w:tcPr>
          <w:p w14:paraId="4D26CC2A" w14:textId="60ED8271"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MARGEN SOLICITADO</w:t>
            </w:r>
          </w:p>
        </w:tc>
      </w:tr>
      <w:tr w:rsidR="008963A6" w:rsidRPr="00272255" w14:paraId="713AF518" w14:textId="77777777" w:rsidTr="008963A6">
        <w:trPr>
          <w:trHeight w:val="20"/>
          <w:jc w:val="center"/>
        </w:trPr>
        <w:tc>
          <w:tcPr>
            <w:tcW w:w="1061" w:type="pc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34F9C93A" w14:textId="12B21507"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ÍNDICE DE LIQUIDEZ</w:t>
            </w:r>
          </w:p>
        </w:tc>
        <w:tc>
          <w:tcPr>
            <w:tcW w:w="2661"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DA998AC" w14:textId="54DD5734"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La Entidad, evaluara el indicador, tomando aquel reportado en el RUP para el último año fiscal</w:t>
            </w:r>
          </w:p>
        </w:tc>
        <w:tc>
          <w:tcPr>
            <w:tcW w:w="1278"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1E530030" w14:textId="4A673F6E" w:rsidR="008963A6" w:rsidRPr="00272255" w:rsidRDefault="008963A6" w:rsidP="008963A6">
            <w:pPr>
              <w:rPr>
                <w:rFonts w:ascii="Century Gothic" w:eastAsia="Batang" w:hAnsi="Century Gothic" w:cs="Arial"/>
                <w:highlight w:val="yellow"/>
              </w:rPr>
            </w:pPr>
            <w:r w:rsidRPr="00272255">
              <w:rPr>
                <w:rFonts w:ascii="Century Gothic" w:eastAsia="Batang" w:hAnsi="Century Gothic" w:cs="Arial"/>
                <w:highlight w:val="yellow"/>
              </w:rPr>
              <w:t>Mayor o igual a 1,10</w:t>
            </w:r>
          </w:p>
        </w:tc>
      </w:tr>
      <w:tr w:rsidR="008963A6" w:rsidRPr="00272255" w14:paraId="3A08C318" w14:textId="77777777" w:rsidTr="008963A6">
        <w:trPr>
          <w:trHeight w:val="20"/>
          <w:jc w:val="center"/>
        </w:trPr>
        <w:tc>
          <w:tcPr>
            <w:tcW w:w="1061" w:type="pc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7DD99ABE" w14:textId="75F93B1F"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lastRenderedPageBreak/>
              <w:t>NIVEL DE ENDEUDAMIENTO</w:t>
            </w:r>
          </w:p>
        </w:tc>
        <w:tc>
          <w:tcPr>
            <w:tcW w:w="2661"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0126323" w14:textId="755DFE22"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La Entidad, evaluara el indicador, tomando aquel reportado en el RUP para el último año fiscal</w:t>
            </w:r>
          </w:p>
        </w:tc>
        <w:tc>
          <w:tcPr>
            <w:tcW w:w="1278"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C71EFC8" w14:textId="31EB5184" w:rsidR="008963A6" w:rsidRPr="00272255" w:rsidRDefault="008963A6" w:rsidP="008963A6">
            <w:pPr>
              <w:rPr>
                <w:rFonts w:ascii="Century Gothic" w:eastAsia="Batang" w:hAnsi="Century Gothic" w:cs="Arial"/>
                <w:highlight w:val="yellow"/>
              </w:rPr>
            </w:pPr>
            <w:r w:rsidRPr="00272255">
              <w:rPr>
                <w:rFonts w:ascii="Century Gothic" w:eastAsia="Batang" w:hAnsi="Century Gothic" w:cs="Arial"/>
                <w:highlight w:val="yellow"/>
              </w:rPr>
              <w:t>Menor o igual al 0,75</w:t>
            </w:r>
          </w:p>
        </w:tc>
      </w:tr>
      <w:tr w:rsidR="008963A6" w:rsidRPr="00272255" w14:paraId="14243349" w14:textId="77777777" w:rsidTr="008963A6">
        <w:trPr>
          <w:trHeight w:val="20"/>
          <w:jc w:val="center"/>
        </w:trPr>
        <w:tc>
          <w:tcPr>
            <w:tcW w:w="1061" w:type="pc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7D3137DF" w14:textId="2BA315D6"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RAZÓN DE COBERTURA DE INTERÉS</w:t>
            </w:r>
          </w:p>
        </w:tc>
        <w:tc>
          <w:tcPr>
            <w:tcW w:w="2661"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4396324" w14:textId="2A898743"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La Entidad, evaluara el indicador, tomando aquel reportado en el RUP para el último año fiscal</w:t>
            </w:r>
          </w:p>
        </w:tc>
        <w:tc>
          <w:tcPr>
            <w:tcW w:w="1278" w:type="pct"/>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89D431C" w14:textId="7916EAFB" w:rsidR="008963A6" w:rsidRPr="00272255" w:rsidRDefault="008963A6" w:rsidP="008963A6">
            <w:pPr>
              <w:rPr>
                <w:rFonts w:ascii="Century Gothic" w:eastAsia="Batang" w:hAnsi="Century Gothic" w:cs="Arial"/>
                <w:highlight w:val="yellow"/>
              </w:rPr>
            </w:pPr>
            <w:r w:rsidRPr="00272255">
              <w:rPr>
                <w:rFonts w:ascii="Century Gothic" w:eastAsia="Batang" w:hAnsi="Century Gothic" w:cs="Arial"/>
                <w:highlight w:val="yellow"/>
              </w:rPr>
              <w:t>Mayor o igual a 1 o Indeterminado</w:t>
            </w:r>
          </w:p>
        </w:tc>
      </w:tr>
      <w:tr w:rsidR="008963A6" w:rsidRPr="00272255" w14:paraId="61877318" w14:textId="77777777" w:rsidTr="008963A6">
        <w:trPr>
          <w:trHeight w:val="50"/>
          <w:jc w:val="center"/>
        </w:trPr>
        <w:tc>
          <w:tcPr>
            <w:tcW w:w="1061"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4BD02E24" w14:textId="7F41909F"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RENTABILIDAD DEL PATRIMONIO</w:t>
            </w:r>
          </w:p>
        </w:tc>
        <w:tc>
          <w:tcPr>
            <w:tcW w:w="266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C8704E1" w14:textId="11562444"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La Entidad, evaluara el indicador, tomando aquel reportado en el RUP para el último año fiscal</w:t>
            </w:r>
          </w:p>
        </w:tc>
        <w:tc>
          <w:tcPr>
            <w:tcW w:w="1278"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2D2F17F" w14:textId="30BA0BF6" w:rsidR="008963A6" w:rsidRPr="00272255" w:rsidRDefault="008963A6" w:rsidP="008963A6">
            <w:pPr>
              <w:spacing w:line="256" w:lineRule="auto"/>
              <w:rPr>
                <w:rFonts w:ascii="Century Gothic" w:eastAsia="Batang" w:hAnsi="Century Gothic" w:cs="Arial"/>
                <w:highlight w:val="yellow"/>
              </w:rPr>
            </w:pPr>
            <w:r w:rsidRPr="00272255">
              <w:rPr>
                <w:rFonts w:ascii="Century Gothic" w:eastAsia="Batang" w:hAnsi="Century Gothic" w:cs="Arial"/>
                <w:highlight w:val="yellow"/>
              </w:rPr>
              <w:t>Mayor o igual a 0,10</w:t>
            </w:r>
          </w:p>
        </w:tc>
      </w:tr>
      <w:tr w:rsidR="008963A6" w:rsidRPr="00FA7341" w14:paraId="765AC417" w14:textId="77777777" w:rsidTr="008963A6">
        <w:trPr>
          <w:trHeight w:val="50"/>
          <w:jc w:val="center"/>
        </w:trPr>
        <w:tc>
          <w:tcPr>
            <w:tcW w:w="1061"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24575762" w14:textId="6C69AC3D"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RENTABILIDAD DEL ACTIVO</w:t>
            </w:r>
          </w:p>
        </w:tc>
        <w:tc>
          <w:tcPr>
            <w:tcW w:w="266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45C00126" w14:textId="2D019221" w:rsidR="008963A6" w:rsidRPr="00272255" w:rsidRDefault="008963A6" w:rsidP="008963A6">
            <w:pPr>
              <w:jc w:val="center"/>
              <w:rPr>
                <w:rFonts w:ascii="Century Gothic" w:eastAsia="Batang" w:hAnsi="Century Gothic" w:cs="Arial"/>
                <w:highlight w:val="yellow"/>
              </w:rPr>
            </w:pPr>
            <w:r w:rsidRPr="00272255">
              <w:rPr>
                <w:rFonts w:ascii="Century Gothic" w:eastAsia="Batang" w:hAnsi="Century Gothic" w:cs="Arial"/>
                <w:highlight w:val="yellow"/>
              </w:rPr>
              <w:t>La Entidad, evaluara el indicador, tomando aquel reportado en el RUP para el último año fiscal</w:t>
            </w:r>
          </w:p>
        </w:tc>
        <w:tc>
          <w:tcPr>
            <w:tcW w:w="1278"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1F8F1A2" w14:textId="304FBA1B" w:rsidR="008963A6" w:rsidRPr="00FA7341" w:rsidRDefault="008963A6" w:rsidP="008963A6">
            <w:pPr>
              <w:spacing w:line="256" w:lineRule="auto"/>
              <w:rPr>
                <w:rFonts w:ascii="Century Gothic" w:eastAsia="Batang" w:hAnsi="Century Gothic" w:cs="Arial"/>
              </w:rPr>
            </w:pPr>
            <w:r w:rsidRPr="00272255">
              <w:rPr>
                <w:rFonts w:ascii="Century Gothic" w:eastAsia="Batang" w:hAnsi="Century Gothic" w:cs="Arial"/>
                <w:highlight w:val="yellow"/>
              </w:rPr>
              <w:t>Mayor o igual a 0,05</w:t>
            </w:r>
          </w:p>
        </w:tc>
      </w:tr>
    </w:tbl>
    <w:p w14:paraId="1321AA75" w14:textId="77777777" w:rsidR="00DA39D0" w:rsidRPr="00FA7341" w:rsidRDefault="00DA39D0" w:rsidP="00DA39D0">
      <w:pPr>
        <w:jc w:val="center"/>
        <w:rPr>
          <w:rFonts w:ascii="Century Gothic" w:eastAsia="Batang" w:hAnsi="Century Gothic" w:cs="Arial"/>
        </w:rPr>
      </w:pPr>
      <w:r w:rsidRPr="00FA7341">
        <w:rPr>
          <w:rFonts w:ascii="Century Gothic" w:eastAsia="Batang" w:hAnsi="Century Gothic" w:cs="Arial"/>
        </w:rPr>
        <w:t>Fuente: elaboración propia (Departamento de Cundinamarca)</w:t>
      </w:r>
    </w:p>
    <w:p w14:paraId="0D9506F9" w14:textId="77777777" w:rsidR="00DA39D0" w:rsidRPr="00FA7341" w:rsidRDefault="00DA39D0" w:rsidP="00DA39D0">
      <w:pPr>
        <w:jc w:val="both"/>
        <w:rPr>
          <w:rFonts w:ascii="Century Gothic" w:eastAsia="Batang" w:hAnsi="Century Gothic" w:cs="Arial"/>
        </w:rPr>
      </w:pPr>
      <w:r w:rsidRPr="00FA7341">
        <w:rPr>
          <w:rFonts w:ascii="Century Gothic" w:eastAsia="Batang" w:hAnsi="Century Gothic" w:cs="Arial"/>
        </w:rPr>
        <w:t>Los indicadores financieros y organizacionales definidos son proporcionales y acordes con las condiciones del mercado, y permiten verificar la capacidad de liquidez, endeudamiento, cobertura financiera y rentabilidad de los proponentes. Los umbrales establecidos, evaluados con base en la información reportada en el RUP del último año fiscal, garantizan la selección de oferentes financieramente solventes, sin restringir injustificadamente la pluralidad de participantes ni comprometer la adecuada ejecución del contrato.</w:t>
      </w:r>
    </w:p>
    <w:p w14:paraId="29394857" w14:textId="77777777" w:rsidR="00DA39D0" w:rsidRPr="00FA7341" w:rsidRDefault="00DA39D0" w:rsidP="00DA39D0">
      <w:pPr>
        <w:spacing w:after="0" w:line="240" w:lineRule="auto"/>
        <w:jc w:val="both"/>
        <w:rPr>
          <w:rFonts w:ascii="Century Gothic" w:eastAsia="Batang" w:hAnsi="Century Gothic" w:cs="Arial"/>
        </w:rPr>
      </w:pPr>
      <w:r w:rsidRPr="00FA7341">
        <w:rPr>
          <w:rFonts w:ascii="Century Gothic" w:eastAsia="Batang" w:hAnsi="Century Gothic" w:cs="Arial"/>
        </w:rPr>
        <w:t>El Proponente que no tiene gastos de intereses está habilitado respecto de la razón de cobertura de intereses, siempre y cuando la utilidad operacional sea igual o mayor a cero (0).</w:t>
      </w:r>
    </w:p>
    <w:p w14:paraId="2628E1D6" w14:textId="1A47833C" w:rsidR="00DA39D0" w:rsidRPr="00FA7341" w:rsidRDefault="00DA39D0" w:rsidP="00660911">
      <w:pPr>
        <w:spacing w:after="0" w:line="240" w:lineRule="auto"/>
        <w:jc w:val="both"/>
        <w:rPr>
          <w:rFonts w:ascii="Century Gothic" w:eastAsia="Batang" w:hAnsi="Century Gothic" w:cs="Arial"/>
        </w:rPr>
      </w:pPr>
      <w:r w:rsidRPr="00FA7341">
        <w:rPr>
          <w:rFonts w:ascii="Century Gothic" w:eastAsia="Batang" w:hAnsi="Century Gothic" w:cs="Arial"/>
        </w:rPr>
        <w:t xml:space="preserve">De tratarse de un oferente en una figura plural (unión temporal, o consorcio, según el caso) cada uno de los integrantes aporta al valor total de cada componente del índice de acuerdo con su participación y, para el cálculo de cada uno de los anteriores índices de capacidad financiera (i, </w:t>
      </w:r>
      <w:proofErr w:type="spellStart"/>
      <w:r w:rsidRPr="00FA7341">
        <w:rPr>
          <w:rFonts w:ascii="Century Gothic" w:eastAsia="Batang" w:hAnsi="Century Gothic" w:cs="Arial"/>
        </w:rPr>
        <w:t>ii</w:t>
      </w:r>
      <w:proofErr w:type="spellEnd"/>
      <w:r w:rsidRPr="00FA7341">
        <w:rPr>
          <w:rFonts w:ascii="Century Gothic" w:eastAsia="Batang" w:hAnsi="Century Gothic" w:cs="Arial"/>
        </w:rPr>
        <w:t xml:space="preserve">, </w:t>
      </w:r>
      <w:proofErr w:type="spellStart"/>
      <w:r w:rsidRPr="00FA7341">
        <w:rPr>
          <w:rFonts w:ascii="Century Gothic" w:eastAsia="Batang" w:hAnsi="Century Gothic" w:cs="Arial"/>
        </w:rPr>
        <w:t>iii</w:t>
      </w:r>
      <w:proofErr w:type="spellEnd"/>
      <w:r w:rsidRPr="00FA7341">
        <w:rPr>
          <w:rFonts w:ascii="Century Gothic" w:eastAsia="Batang" w:hAnsi="Century Gothic" w:cs="Arial"/>
        </w:rPr>
        <w:t>), se aplicará la siguiente fórmula para la obtención del índice:</w:t>
      </w:r>
    </w:p>
    <w:p w14:paraId="070F78C6" w14:textId="44824460" w:rsidR="00DA39D0" w:rsidRPr="00FA7341" w:rsidRDefault="00DA39D0" w:rsidP="00660911">
      <w:pPr>
        <w:jc w:val="both"/>
        <w:rPr>
          <w:rFonts w:ascii="Century Gothic" w:hAnsi="Century Gothic" w:cs="Arial"/>
          <w:color w:val="000000"/>
          <w:sz w:val="24"/>
          <w:szCs w:val="24"/>
        </w:rPr>
      </w:pPr>
      <w:r w:rsidRPr="00FA7341">
        <w:rPr>
          <w:rFonts w:ascii="Century Gothic" w:eastAsia="Batang" w:hAnsi="Century Gothic" w:cs="Arial"/>
          <w:noProof/>
          <w:sz w:val="24"/>
          <w:szCs w:val="24"/>
          <w:lang w:eastAsia="es-CO"/>
        </w:rPr>
        <w:drawing>
          <wp:inline distT="0" distB="0" distL="0" distR="0" wp14:anchorId="36DCD84B" wp14:editId="516286C4">
            <wp:extent cx="3784600" cy="628650"/>
            <wp:effectExtent l="0" t="0" r="6350" b="0"/>
            <wp:docPr id="864165171" name="Imagen 3"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que contiene Texto&#10;&#10;Descripción generada automáticament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84600" cy="628650"/>
                    </a:xfrm>
                    <a:prstGeom prst="rect">
                      <a:avLst/>
                    </a:prstGeom>
                    <a:noFill/>
                    <a:ln>
                      <a:noFill/>
                    </a:ln>
                  </pic:spPr>
                </pic:pic>
              </a:graphicData>
            </a:graphic>
          </wp:inline>
        </w:drawing>
      </w:r>
    </w:p>
    <w:p w14:paraId="43FD8993" w14:textId="77777777" w:rsidR="00D702FD" w:rsidRPr="00FA7341" w:rsidRDefault="00D702FD" w:rsidP="007369E7">
      <w:pPr>
        <w:tabs>
          <w:tab w:val="left" w:pos="2760"/>
        </w:tabs>
        <w:spacing w:after="0" w:line="240" w:lineRule="auto"/>
        <w:rPr>
          <w:rFonts w:ascii="Century Gothic" w:hAnsi="Century Gothic" w:cs="Arial"/>
          <w:b/>
          <w:bCs/>
        </w:rPr>
      </w:pPr>
    </w:p>
    <w:p w14:paraId="4E890B9D" w14:textId="77777777" w:rsidR="005C0450" w:rsidRPr="00FA7341" w:rsidRDefault="005C0450" w:rsidP="007369E7">
      <w:pPr>
        <w:pStyle w:val="Ttulo1"/>
        <w:spacing w:before="0"/>
        <w:rPr>
          <w:rFonts w:ascii="Century Gothic" w:hAnsi="Century Gothic" w:cs="Arial"/>
          <w:color w:val="002060"/>
          <w:sz w:val="22"/>
          <w:szCs w:val="22"/>
        </w:rPr>
      </w:pPr>
      <w:bookmarkStart w:id="116" w:name="_Toc158946824"/>
      <w:bookmarkStart w:id="117" w:name="_Toc164243749"/>
      <w:bookmarkStart w:id="118" w:name="_Toc176618216"/>
      <w:bookmarkStart w:id="119" w:name="_Toc179188734"/>
      <w:bookmarkStart w:id="120" w:name="_Toc232673915"/>
      <w:r w:rsidRPr="00FA7341">
        <w:rPr>
          <w:rFonts w:ascii="Century Gothic" w:hAnsi="Century Gothic" w:cs="Arial"/>
          <w:color w:val="002060"/>
          <w:sz w:val="22"/>
          <w:szCs w:val="22"/>
        </w:rPr>
        <w:lastRenderedPageBreak/>
        <w:t>REFERENCIAS</w:t>
      </w:r>
      <w:bookmarkEnd w:id="116"/>
      <w:bookmarkEnd w:id="117"/>
      <w:bookmarkEnd w:id="118"/>
      <w:bookmarkEnd w:id="119"/>
      <w:bookmarkEnd w:id="120"/>
    </w:p>
    <w:p w14:paraId="7A8F747A" w14:textId="77777777" w:rsidR="005C0450" w:rsidRPr="00FA7341" w:rsidRDefault="005C0450" w:rsidP="007369E7">
      <w:pPr>
        <w:spacing w:after="0" w:line="240" w:lineRule="auto"/>
        <w:jc w:val="both"/>
        <w:rPr>
          <w:rFonts w:ascii="Century Gothic" w:eastAsia="Arial" w:hAnsi="Century Gothic" w:cs="Arial"/>
          <w:color w:val="000000"/>
        </w:rPr>
      </w:pPr>
    </w:p>
    <w:p w14:paraId="6C74627B" w14:textId="77777777" w:rsidR="005C0450" w:rsidRPr="00FA7341" w:rsidRDefault="005C0450" w:rsidP="009B016D">
      <w:pPr>
        <w:pStyle w:val="Prrafodelista"/>
        <w:numPr>
          <w:ilvl w:val="0"/>
          <w:numId w:val="14"/>
        </w:num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DANE </w:t>
      </w:r>
      <w:hyperlink r:id="rId31" w:history="1">
        <w:r w:rsidRPr="00FA7341">
          <w:rPr>
            <w:rStyle w:val="Hipervnculo"/>
            <w:rFonts w:ascii="Century Gothic" w:eastAsia="Arial" w:hAnsi="Century Gothic" w:cs="Arial"/>
          </w:rPr>
          <w:t>www.dane.gov.co</w:t>
        </w:r>
      </w:hyperlink>
      <w:r w:rsidRPr="00FA7341">
        <w:rPr>
          <w:rFonts w:ascii="Century Gothic" w:eastAsia="Arial" w:hAnsi="Century Gothic" w:cs="Arial"/>
          <w:color w:val="000000"/>
        </w:rPr>
        <w:t xml:space="preserve">  </w:t>
      </w:r>
    </w:p>
    <w:p w14:paraId="47F2F3C2" w14:textId="77777777" w:rsidR="005C0450" w:rsidRPr="00FA7341" w:rsidRDefault="005C0450" w:rsidP="009B016D">
      <w:pPr>
        <w:pStyle w:val="Prrafodelista"/>
        <w:numPr>
          <w:ilvl w:val="0"/>
          <w:numId w:val="14"/>
        </w:num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CONFECAMARAS </w:t>
      </w:r>
      <w:hyperlink r:id="rId32" w:history="1">
        <w:r w:rsidRPr="00FA7341">
          <w:rPr>
            <w:rStyle w:val="Hipervnculo"/>
            <w:rFonts w:ascii="Century Gothic" w:eastAsia="Arial" w:hAnsi="Century Gothic" w:cs="Arial"/>
          </w:rPr>
          <w:t>https://confecamaras.org.co/</w:t>
        </w:r>
      </w:hyperlink>
      <w:r w:rsidRPr="00FA7341">
        <w:rPr>
          <w:rFonts w:ascii="Century Gothic" w:eastAsia="Arial" w:hAnsi="Century Gothic" w:cs="Arial"/>
          <w:color w:val="000000"/>
        </w:rPr>
        <w:t xml:space="preserve">  </w:t>
      </w:r>
    </w:p>
    <w:p w14:paraId="4E7E22AE" w14:textId="77777777" w:rsidR="005C0450" w:rsidRPr="00FA7341" w:rsidRDefault="005C0450" w:rsidP="009B016D">
      <w:pPr>
        <w:pStyle w:val="Prrafodelista"/>
        <w:numPr>
          <w:ilvl w:val="0"/>
          <w:numId w:val="14"/>
        </w:num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MINISTERIO DEL TRABAJO </w:t>
      </w:r>
      <w:hyperlink r:id="rId33" w:history="1">
        <w:r w:rsidRPr="00FA7341">
          <w:rPr>
            <w:rStyle w:val="Hipervnculo"/>
            <w:rFonts w:ascii="Century Gothic" w:eastAsia="Arial" w:hAnsi="Century Gothic" w:cs="Arial"/>
          </w:rPr>
          <w:t>https://www.mintrabajo.gov.co/</w:t>
        </w:r>
      </w:hyperlink>
      <w:r w:rsidRPr="00FA7341">
        <w:rPr>
          <w:rFonts w:ascii="Century Gothic" w:eastAsia="Arial" w:hAnsi="Century Gothic" w:cs="Arial"/>
          <w:color w:val="000000"/>
        </w:rPr>
        <w:t xml:space="preserve"> </w:t>
      </w:r>
    </w:p>
    <w:p w14:paraId="580558CF" w14:textId="77777777" w:rsidR="005C0450" w:rsidRPr="00FA7341" w:rsidRDefault="005C0450" w:rsidP="009B016D">
      <w:pPr>
        <w:pStyle w:val="Prrafodelista"/>
        <w:numPr>
          <w:ilvl w:val="0"/>
          <w:numId w:val="14"/>
        </w:num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COLOMBIA COMPRA EFICIENTE </w:t>
      </w:r>
      <w:hyperlink r:id="rId34" w:history="1">
        <w:r w:rsidRPr="00FA7341">
          <w:rPr>
            <w:rStyle w:val="Hipervnculo"/>
            <w:rFonts w:ascii="Century Gothic" w:eastAsia="Arial" w:hAnsi="Century Gothic" w:cs="Arial"/>
          </w:rPr>
          <w:t>https://www.colombiacompra.gov.co/</w:t>
        </w:r>
      </w:hyperlink>
      <w:r w:rsidRPr="00FA7341">
        <w:rPr>
          <w:rFonts w:ascii="Century Gothic" w:eastAsia="Arial" w:hAnsi="Century Gothic" w:cs="Arial"/>
          <w:color w:val="000000"/>
        </w:rPr>
        <w:t xml:space="preserve">  </w:t>
      </w:r>
    </w:p>
    <w:p w14:paraId="602CD0BE" w14:textId="77777777" w:rsidR="005C0450" w:rsidRPr="00FA7341" w:rsidRDefault="005C0450" w:rsidP="009B016D">
      <w:pPr>
        <w:pStyle w:val="Prrafodelista"/>
        <w:numPr>
          <w:ilvl w:val="0"/>
          <w:numId w:val="14"/>
        </w:numPr>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DÓLAR: </w:t>
      </w:r>
      <w:hyperlink r:id="rId35" w:history="1">
        <w:r w:rsidRPr="00FA7341">
          <w:rPr>
            <w:rStyle w:val="Hipervnculo"/>
            <w:rFonts w:ascii="Century Gothic" w:eastAsia="Arial" w:hAnsi="Century Gothic" w:cs="Arial"/>
          </w:rPr>
          <w:t>https://dolar.wilkinsonpc.com.co/</w:t>
        </w:r>
      </w:hyperlink>
      <w:r w:rsidRPr="00FA7341">
        <w:rPr>
          <w:rFonts w:ascii="Century Gothic" w:eastAsia="Arial" w:hAnsi="Century Gothic" w:cs="Arial"/>
          <w:color w:val="000000"/>
        </w:rPr>
        <w:t xml:space="preserve"> </w:t>
      </w:r>
    </w:p>
    <w:p w14:paraId="3250F72B" w14:textId="77777777" w:rsidR="005C0450" w:rsidRPr="00FA7341" w:rsidRDefault="005C0450" w:rsidP="009B016D">
      <w:pPr>
        <w:pStyle w:val="Prrafodelista"/>
        <w:numPr>
          <w:ilvl w:val="0"/>
          <w:numId w:val="14"/>
        </w:numPr>
        <w:suppressAutoHyphens/>
        <w:spacing w:after="0" w:line="240" w:lineRule="auto"/>
        <w:jc w:val="both"/>
        <w:rPr>
          <w:rFonts w:ascii="Century Gothic" w:eastAsia="Arial" w:hAnsi="Century Gothic" w:cs="Arial"/>
          <w:color w:val="000000"/>
        </w:rPr>
      </w:pPr>
      <w:r w:rsidRPr="00FA7341">
        <w:rPr>
          <w:rFonts w:ascii="Century Gothic" w:eastAsia="Arial" w:hAnsi="Century Gothic" w:cs="Arial"/>
          <w:color w:val="000000"/>
        </w:rPr>
        <w:t xml:space="preserve">PRESIDENCIA DE LA REPÚBLICA DE COLOMBIA por el cual se expide el plan nacional de desarrollo 2022- 2026 “Colombia potencia mundial de la vida [en línea]. - 19 de mayo de 2023. - </w:t>
      </w:r>
      <w:hyperlink r:id="rId36" w:history="1">
        <w:r w:rsidRPr="00FA7341">
          <w:rPr>
            <w:rStyle w:val="Hipervnculo"/>
            <w:rFonts w:ascii="Century Gothic" w:eastAsia="Arial" w:hAnsi="Century Gothic" w:cs="Arial"/>
          </w:rPr>
          <w:t>https://www.funcionpublica.gov.co/eva/gestornormativo/norma.php?i=209510</w:t>
        </w:r>
      </w:hyperlink>
      <w:r w:rsidRPr="00FA7341">
        <w:rPr>
          <w:rFonts w:ascii="Century Gothic" w:eastAsia="Arial" w:hAnsi="Century Gothic" w:cs="Arial"/>
          <w:color w:val="000000"/>
        </w:rPr>
        <w:t xml:space="preserve"> </w:t>
      </w:r>
    </w:p>
    <w:p w14:paraId="672706E8" w14:textId="77777777" w:rsidR="005C0450" w:rsidRPr="00FA7341" w:rsidRDefault="005C0450" w:rsidP="007369E7">
      <w:pPr>
        <w:pStyle w:val="Prrafodelista"/>
        <w:suppressAutoHyphens/>
        <w:spacing w:after="0" w:line="240" w:lineRule="auto"/>
        <w:jc w:val="both"/>
        <w:rPr>
          <w:rFonts w:ascii="Century Gothic" w:eastAsia="Arial" w:hAnsi="Century Gothic" w:cs="Arial"/>
          <w:color w:val="000000"/>
        </w:rPr>
      </w:pPr>
    </w:p>
    <w:tbl>
      <w:tblPr>
        <w:tblW w:w="4814" w:type="pct"/>
        <w:jc w:val="center"/>
        <w:tblBorders>
          <w:top w:val="single" w:sz="4" w:space="0" w:color="auto"/>
          <w:left w:val="single" w:sz="4" w:space="0" w:color="auto"/>
          <w:bottom w:val="single" w:sz="4" w:space="0" w:color="auto"/>
          <w:right w:val="single" w:sz="4" w:space="0" w:color="auto"/>
          <w:insideH w:val="dotted" w:sz="4" w:space="0" w:color="7F7F7F"/>
          <w:insideV w:val="dotted" w:sz="4" w:space="0" w:color="7F7F7F"/>
        </w:tblBorders>
        <w:tblLook w:val="04A0" w:firstRow="1" w:lastRow="0" w:firstColumn="1" w:lastColumn="0" w:noHBand="0" w:noVBand="1"/>
      </w:tblPr>
      <w:tblGrid>
        <w:gridCol w:w="1669"/>
        <w:gridCol w:w="3713"/>
        <w:gridCol w:w="3118"/>
      </w:tblGrid>
      <w:tr w:rsidR="003C3F08" w:rsidRPr="00FA7341" w14:paraId="46086D1F" w14:textId="61CB4876" w:rsidTr="003C3F08">
        <w:trPr>
          <w:trHeight w:val="848"/>
          <w:jc w:val="center"/>
        </w:trPr>
        <w:tc>
          <w:tcPr>
            <w:tcW w:w="982" w:type="pct"/>
            <w:tcBorders>
              <w:top w:val="dotted" w:sz="4" w:space="0" w:color="BFBFBF"/>
              <w:left w:val="dotted" w:sz="4" w:space="0" w:color="BFBFBF"/>
              <w:bottom w:val="dotted" w:sz="4" w:space="0" w:color="BFBFBF"/>
              <w:right w:val="dotted" w:sz="4" w:space="0" w:color="BFBFBF"/>
            </w:tcBorders>
            <w:shd w:val="clear" w:color="auto" w:fill="002060"/>
          </w:tcPr>
          <w:p w14:paraId="5F40EDC3" w14:textId="76F2E502" w:rsidR="003C3F08" w:rsidRPr="00FA7341" w:rsidRDefault="003C3F08" w:rsidP="007369E7">
            <w:pPr>
              <w:spacing w:after="0" w:line="240" w:lineRule="auto"/>
              <w:rPr>
                <w:rFonts w:ascii="Century Gothic" w:hAnsi="Century Gothic" w:cs="Arial"/>
                <w:b/>
                <w:bCs/>
                <w:color w:val="404040"/>
              </w:rPr>
            </w:pPr>
            <w:r w:rsidRPr="00FA7341">
              <w:rPr>
                <w:rFonts w:ascii="Century Gothic" w:hAnsi="Century Gothic" w:cs="Arial"/>
                <w:color w:val="FFFFFF"/>
              </w:rPr>
              <w:t>Aprobó</w:t>
            </w:r>
          </w:p>
        </w:tc>
        <w:tc>
          <w:tcPr>
            <w:tcW w:w="2184" w:type="pct"/>
            <w:tcBorders>
              <w:top w:val="dotted" w:sz="4" w:space="0" w:color="BFBFBF"/>
              <w:left w:val="dotted" w:sz="4" w:space="0" w:color="BFBFBF"/>
              <w:bottom w:val="dotted" w:sz="4" w:space="0" w:color="BFBFBF"/>
              <w:right w:val="dotted" w:sz="4" w:space="0" w:color="BFBFBF"/>
            </w:tcBorders>
            <w:vAlign w:val="center"/>
          </w:tcPr>
          <w:p w14:paraId="58EE38DD" w14:textId="6B3A4ABC" w:rsidR="003C3F08" w:rsidRPr="00FA7341" w:rsidRDefault="00D702FD" w:rsidP="003C3F08">
            <w:pPr>
              <w:spacing w:after="0" w:line="240" w:lineRule="auto"/>
              <w:rPr>
                <w:rFonts w:ascii="Century Gothic" w:hAnsi="Century Gothic" w:cs="Arial"/>
                <w:color w:val="404040"/>
              </w:rPr>
            </w:pPr>
            <w:r w:rsidRPr="00FA7341">
              <w:rPr>
                <w:rFonts w:ascii="Century Gothic" w:hAnsi="Century Gothic" w:cs="Arial"/>
                <w:color w:val="404040"/>
              </w:rPr>
              <w:t>Oficina Asesora Jurídica (…)-DAFPC</w:t>
            </w:r>
            <w:r w:rsidR="00CD0B8A" w:rsidRPr="00FA7341">
              <w:rPr>
                <w:rFonts w:ascii="Century Gothic" w:hAnsi="Century Gothic" w:cs="Arial"/>
                <w:color w:val="404040"/>
              </w:rPr>
              <w:t xml:space="preserve"> (E)</w:t>
            </w:r>
          </w:p>
        </w:tc>
        <w:tc>
          <w:tcPr>
            <w:tcW w:w="1834" w:type="pct"/>
            <w:tcBorders>
              <w:top w:val="dotted" w:sz="4" w:space="0" w:color="BFBFBF"/>
              <w:left w:val="dotted" w:sz="4" w:space="0" w:color="BFBFBF"/>
              <w:bottom w:val="dotted" w:sz="4" w:space="0" w:color="BFBFBF"/>
              <w:right w:val="dotted" w:sz="4" w:space="0" w:color="BFBFBF"/>
            </w:tcBorders>
            <w:vAlign w:val="center"/>
          </w:tcPr>
          <w:p w14:paraId="4EA7C28A" w14:textId="77777777" w:rsidR="003C3F08" w:rsidRPr="00FA7341" w:rsidRDefault="003C3F08" w:rsidP="003C3F08">
            <w:pPr>
              <w:spacing w:after="0" w:line="240" w:lineRule="auto"/>
              <w:rPr>
                <w:rFonts w:ascii="Century Gothic" w:hAnsi="Century Gothic" w:cs="Arial"/>
                <w:color w:val="404040"/>
              </w:rPr>
            </w:pPr>
          </w:p>
        </w:tc>
      </w:tr>
      <w:tr w:rsidR="005C0450" w:rsidRPr="00A014F9" w14:paraId="3E802CA0" w14:textId="77777777" w:rsidTr="003C3F08">
        <w:trPr>
          <w:trHeight w:val="860"/>
          <w:jc w:val="center"/>
        </w:trPr>
        <w:tc>
          <w:tcPr>
            <w:tcW w:w="982" w:type="pct"/>
            <w:tcBorders>
              <w:top w:val="dotted" w:sz="4" w:space="0" w:color="BFBFBF"/>
              <w:left w:val="dotted" w:sz="4" w:space="0" w:color="BFBFBF"/>
              <w:right w:val="dotted" w:sz="4" w:space="0" w:color="BFBFBF"/>
            </w:tcBorders>
            <w:shd w:val="clear" w:color="auto" w:fill="002060"/>
          </w:tcPr>
          <w:p w14:paraId="4C4F1B3F" w14:textId="77777777" w:rsidR="005C0450" w:rsidRPr="00FA7341" w:rsidRDefault="005C0450" w:rsidP="007369E7">
            <w:pPr>
              <w:spacing w:after="0" w:line="240" w:lineRule="auto"/>
              <w:rPr>
                <w:rFonts w:ascii="Century Gothic" w:hAnsi="Century Gothic" w:cs="Arial"/>
                <w:color w:val="FFFFFF"/>
              </w:rPr>
            </w:pPr>
            <w:r w:rsidRPr="00FA7341">
              <w:rPr>
                <w:rFonts w:ascii="Century Gothic" w:hAnsi="Century Gothic" w:cs="Arial"/>
                <w:color w:val="FFFFFF"/>
              </w:rPr>
              <w:t>Elaboró:</w:t>
            </w:r>
          </w:p>
        </w:tc>
        <w:tc>
          <w:tcPr>
            <w:tcW w:w="2184" w:type="pct"/>
            <w:tcBorders>
              <w:top w:val="dotted" w:sz="4" w:space="0" w:color="BFBFBF"/>
              <w:left w:val="dotted" w:sz="4" w:space="0" w:color="BFBFBF"/>
              <w:bottom w:val="dotted" w:sz="4" w:space="0" w:color="BFBFBF"/>
              <w:right w:val="dotted" w:sz="4" w:space="0" w:color="BFBFBF"/>
            </w:tcBorders>
          </w:tcPr>
          <w:p w14:paraId="484E3112" w14:textId="707C7A17" w:rsidR="005C0450" w:rsidRDefault="00D702FD" w:rsidP="007369E7">
            <w:pPr>
              <w:spacing w:after="0" w:line="240" w:lineRule="auto"/>
              <w:rPr>
                <w:rFonts w:ascii="Century Gothic" w:hAnsi="Century Gothic" w:cs="Arial"/>
                <w:color w:val="404040"/>
                <w:lang w:val="pt-PT"/>
              </w:rPr>
            </w:pPr>
            <w:r w:rsidRPr="00962C0A">
              <w:rPr>
                <w:rFonts w:ascii="Century Gothic" w:hAnsi="Century Gothic" w:cs="Arial"/>
                <w:color w:val="404040"/>
                <w:lang w:val="pt-PT"/>
              </w:rPr>
              <w:t>Ni</w:t>
            </w:r>
            <w:r w:rsidR="00272255" w:rsidRPr="00962C0A">
              <w:rPr>
                <w:rFonts w:ascii="Century Gothic" w:hAnsi="Century Gothic" w:cs="Arial"/>
                <w:color w:val="404040"/>
                <w:lang w:val="pt-PT"/>
              </w:rPr>
              <w:t xml:space="preserve">colas Emmanuel Frasser Cajamarca </w:t>
            </w:r>
            <w:r w:rsidRPr="00962C0A">
              <w:rPr>
                <w:rFonts w:ascii="Century Gothic" w:hAnsi="Century Gothic" w:cs="Arial"/>
                <w:color w:val="404040"/>
                <w:lang w:val="pt-PT"/>
              </w:rPr>
              <w:t>-Contratista</w:t>
            </w:r>
            <w:r w:rsidR="00272255" w:rsidRPr="00962C0A">
              <w:rPr>
                <w:rFonts w:ascii="Century Gothic" w:hAnsi="Century Gothic" w:cs="Arial"/>
                <w:color w:val="404040"/>
                <w:lang w:val="pt-PT"/>
              </w:rPr>
              <w:t xml:space="preserve"> </w:t>
            </w:r>
            <w:r w:rsidRPr="00962C0A">
              <w:rPr>
                <w:rFonts w:ascii="Century Gothic" w:hAnsi="Century Gothic" w:cs="Arial"/>
                <w:color w:val="404040"/>
                <w:lang w:val="pt-PT"/>
              </w:rPr>
              <w:t>-DAFPC</w:t>
            </w:r>
          </w:p>
          <w:p w14:paraId="2697CE0B" w14:textId="5FBDC7B9" w:rsidR="00A014F9" w:rsidRPr="00A014F9" w:rsidRDefault="00A014F9" w:rsidP="007369E7">
            <w:pPr>
              <w:spacing w:after="0" w:line="240" w:lineRule="auto"/>
              <w:rPr>
                <w:rFonts w:ascii="Century Gothic" w:hAnsi="Century Gothic" w:cs="Arial"/>
                <w:color w:val="404040"/>
                <w:u w:val="double"/>
                <w:lang w:val="pt-PT"/>
              </w:rPr>
            </w:pPr>
            <w:r w:rsidRPr="00A014F9">
              <w:rPr>
                <w:rFonts w:ascii="Century Gothic" w:hAnsi="Century Gothic" w:cs="Arial"/>
                <w:color w:val="404040"/>
                <w:lang w:val="pt-PT"/>
              </w:rPr>
              <w:t xml:space="preserve">Carlos Mario Escobar Triana – Contratista - </w:t>
            </w:r>
            <w:r w:rsidRPr="00A014F9">
              <w:rPr>
                <w:rFonts w:ascii="Century Gothic" w:hAnsi="Century Gothic" w:cs="Arial"/>
                <w:color w:val="404040"/>
                <w:u w:val="double"/>
                <w:lang w:val="pt-PT"/>
              </w:rPr>
              <w:t>DA</w:t>
            </w:r>
            <w:r>
              <w:rPr>
                <w:rFonts w:ascii="Century Gothic" w:hAnsi="Century Gothic" w:cs="Arial"/>
                <w:color w:val="404040"/>
                <w:u w:val="double"/>
                <w:lang w:val="pt-PT"/>
              </w:rPr>
              <w:t>FPC</w:t>
            </w:r>
          </w:p>
          <w:p w14:paraId="11D529B0" w14:textId="6F446E0E" w:rsidR="00A06353" w:rsidRPr="00A014F9" w:rsidRDefault="00A06353" w:rsidP="007369E7">
            <w:pPr>
              <w:spacing w:after="0" w:line="240" w:lineRule="auto"/>
              <w:rPr>
                <w:rFonts w:ascii="Century Gothic" w:hAnsi="Century Gothic" w:cs="Arial"/>
                <w:color w:val="404040"/>
                <w:lang w:val="pt-PT"/>
              </w:rPr>
            </w:pPr>
          </w:p>
        </w:tc>
        <w:tc>
          <w:tcPr>
            <w:tcW w:w="1834" w:type="pct"/>
            <w:tcBorders>
              <w:top w:val="dotted" w:sz="4" w:space="0" w:color="BFBFBF"/>
              <w:left w:val="dotted" w:sz="4" w:space="0" w:color="BFBFBF"/>
              <w:bottom w:val="dotted" w:sz="4" w:space="0" w:color="BFBFBF"/>
              <w:right w:val="dotted" w:sz="4" w:space="0" w:color="BFBFBF"/>
            </w:tcBorders>
          </w:tcPr>
          <w:p w14:paraId="39AD0AB2" w14:textId="77777777" w:rsidR="005C0450" w:rsidRPr="00A014F9" w:rsidRDefault="005C0450" w:rsidP="007369E7">
            <w:pPr>
              <w:spacing w:after="0" w:line="240" w:lineRule="auto"/>
              <w:jc w:val="center"/>
              <w:rPr>
                <w:rFonts w:ascii="Century Gothic" w:hAnsi="Century Gothic" w:cs="Arial"/>
                <w:color w:val="404040"/>
                <w:lang w:val="pt-PT"/>
              </w:rPr>
            </w:pPr>
          </w:p>
        </w:tc>
      </w:tr>
      <w:tr w:rsidR="005C0450" w:rsidRPr="00FA7341" w14:paraId="520B0945" w14:textId="77777777" w:rsidTr="00D808B4">
        <w:trPr>
          <w:trHeight w:val="403"/>
          <w:jc w:val="center"/>
        </w:trPr>
        <w:tc>
          <w:tcPr>
            <w:tcW w:w="982" w:type="pct"/>
            <w:tcBorders>
              <w:top w:val="dotted" w:sz="4" w:space="0" w:color="BFBFBF"/>
              <w:left w:val="dotted" w:sz="4" w:space="0" w:color="BFBFBF"/>
              <w:bottom w:val="dotted" w:sz="4" w:space="0" w:color="BFBFBF"/>
              <w:right w:val="dotted" w:sz="4" w:space="0" w:color="BFBFBF"/>
            </w:tcBorders>
            <w:shd w:val="clear" w:color="auto" w:fill="002060"/>
          </w:tcPr>
          <w:p w14:paraId="563CC76C" w14:textId="77777777" w:rsidR="005C0450" w:rsidRPr="00FA7341" w:rsidRDefault="005C0450" w:rsidP="007369E7">
            <w:pPr>
              <w:spacing w:after="0" w:line="240" w:lineRule="auto"/>
              <w:rPr>
                <w:rFonts w:ascii="Century Gothic" w:hAnsi="Century Gothic" w:cs="Arial"/>
                <w:color w:val="FFFFFF"/>
              </w:rPr>
            </w:pPr>
            <w:r w:rsidRPr="00FA7341">
              <w:rPr>
                <w:rFonts w:ascii="Century Gothic" w:hAnsi="Century Gothic" w:cs="Arial"/>
                <w:color w:val="FFFFFF"/>
              </w:rPr>
              <w:t xml:space="preserve">Fecha de elaboración: </w:t>
            </w:r>
          </w:p>
        </w:tc>
        <w:tc>
          <w:tcPr>
            <w:tcW w:w="4018" w:type="pct"/>
            <w:gridSpan w:val="2"/>
            <w:tcBorders>
              <w:top w:val="dotted" w:sz="4" w:space="0" w:color="BFBFBF"/>
              <w:left w:val="dotted" w:sz="4" w:space="0" w:color="BFBFBF"/>
              <w:bottom w:val="dotted" w:sz="4" w:space="0" w:color="BFBFBF"/>
              <w:right w:val="dotted" w:sz="4" w:space="0" w:color="BFBFBF"/>
            </w:tcBorders>
          </w:tcPr>
          <w:p w14:paraId="74BB5724" w14:textId="290B6968" w:rsidR="005C0450" w:rsidRPr="00FA7341" w:rsidRDefault="00272255" w:rsidP="00660911">
            <w:pPr>
              <w:spacing w:after="0" w:line="240" w:lineRule="auto"/>
              <w:rPr>
                <w:rFonts w:ascii="Century Gothic" w:hAnsi="Century Gothic" w:cs="Arial"/>
                <w:color w:val="404040"/>
              </w:rPr>
            </w:pPr>
            <w:r>
              <w:rPr>
                <w:rFonts w:ascii="Century Gothic" w:hAnsi="Century Gothic" w:cs="Arial"/>
                <w:color w:val="404040"/>
              </w:rPr>
              <w:t>JUNIO</w:t>
            </w:r>
            <w:r w:rsidR="0083778C" w:rsidRPr="00FA7341">
              <w:rPr>
                <w:rFonts w:ascii="Century Gothic" w:hAnsi="Century Gothic" w:cs="Arial"/>
                <w:color w:val="404040"/>
              </w:rPr>
              <w:t xml:space="preserve"> </w:t>
            </w:r>
            <w:r w:rsidR="00D702FD" w:rsidRPr="00FA7341">
              <w:rPr>
                <w:rFonts w:ascii="Century Gothic" w:hAnsi="Century Gothic" w:cs="Arial"/>
                <w:color w:val="404040"/>
              </w:rPr>
              <w:t xml:space="preserve">de </w:t>
            </w:r>
            <w:r w:rsidR="0083778C" w:rsidRPr="00FA7341">
              <w:rPr>
                <w:rFonts w:ascii="Century Gothic" w:hAnsi="Century Gothic" w:cs="Arial"/>
                <w:color w:val="404040"/>
              </w:rPr>
              <w:t>202</w:t>
            </w:r>
            <w:r w:rsidR="002871B1" w:rsidRPr="00FA7341">
              <w:rPr>
                <w:rFonts w:ascii="Century Gothic" w:hAnsi="Century Gothic" w:cs="Arial"/>
                <w:color w:val="404040"/>
              </w:rPr>
              <w:t>6</w:t>
            </w:r>
          </w:p>
        </w:tc>
      </w:tr>
    </w:tbl>
    <w:p w14:paraId="0C6F8C63" w14:textId="77777777" w:rsidR="005C0450" w:rsidRPr="00FA7341" w:rsidRDefault="005C0450" w:rsidP="007369E7">
      <w:pPr>
        <w:spacing w:after="0" w:line="240" w:lineRule="auto"/>
        <w:jc w:val="both"/>
        <w:rPr>
          <w:rFonts w:ascii="Century Gothic" w:eastAsia="Arial" w:hAnsi="Century Gothic" w:cs="Arial"/>
          <w:color w:val="000000"/>
        </w:rPr>
      </w:pPr>
    </w:p>
    <w:sectPr w:rsidR="005C0450" w:rsidRPr="00FA7341" w:rsidSect="00DB108F">
      <w:type w:val="continuous"/>
      <w:pgSz w:w="12240" w:h="15840"/>
      <w:pgMar w:top="1875" w:right="1701" w:bottom="1666" w:left="1701" w:header="709" w:footer="7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376B" w14:textId="77777777" w:rsidR="00A62385" w:rsidRDefault="00A62385" w:rsidP="00757B36">
      <w:pPr>
        <w:spacing w:after="0" w:line="240" w:lineRule="auto"/>
      </w:pPr>
      <w:r>
        <w:separator/>
      </w:r>
    </w:p>
  </w:endnote>
  <w:endnote w:type="continuationSeparator" w:id="0">
    <w:p w14:paraId="2D4A3A57" w14:textId="77777777" w:rsidR="00A62385" w:rsidRDefault="00A62385"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E737" w14:textId="77777777" w:rsidR="00B40200" w:rsidRDefault="00B40200">
    <w:pPr>
      <w:pStyle w:val="Piedepgina"/>
      <w:jc w:val="right"/>
    </w:pPr>
    <w:r>
      <w:rPr>
        <w:lang w:val="es-ES"/>
      </w:rPr>
      <w:t xml:space="preserve">Página | </w:t>
    </w:r>
    <w:r>
      <w:fldChar w:fldCharType="begin"/>
    </w:r>
    <w:r>
      <w:instrText>PAGE   \* MERGEFORMAT</w:instrText>
    </w:r>
    <w:r>
      <w:fldChar w:fldCharType="separate"/>
    </w:r>
    <w:r w:rsidR="009F5363" w:rsidRPr="009F5363">
      <w:rPr>
        <w:noProof/>
        <w:lang w:val="es-ES"/>
      </w:rPr>
      <w:t>50</w:t>
    </w:r>
    <w:r>
      <w:fldChar w:fldCharType="end"/>
    </w:r>
    <w:r>
      <w:rPr>
        <w:lang w:val="es-ES"/>
      </w:rPr>
      <w:t xml:space="preserve"> </w:t>
    </w:r>
  </w:p>
  <w:p w14:paraId="5189DE41" w14:textId="77777777" w:rsidR="00B40200" w:rsidRPr="00D34D20" w:rsidRDefault="00B4020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D238" w14:textId="77777777" w:rsidR="00A62385" w:rsidRDefault="00A62385" w:rsidP="00757B36">
      <w:pPr>
        <w:spacing w:after="0" w:line="240" w:lineRule="auto"/>
      </w:pPr>
      <w:r>
        <w:separator/>
      </w:r>
    </w:p>
  </w:footnote>
  <w:footnote w:type="continuationSeparator" w:id="0">
    <w:p w14:paraId="7A609DE3" w14:textId="77777777" w:rsidR="00A62385" w:rsidRDefault="00A62385" w:rsidP="00757B36">
      <w:pPr>
        <w:spacing w:after="0" w:line="240" w:lineRule="auto"/>
      </w:pPr>
      <w:r>
        <w:continuationSeparator/>
      </w:r>
    </w:p>
  </w:footnote>
  <w:footnote w:id="1">
    <w:p w14:paraId="21B076C1" w14:textId="0974B2D1" w:rsidR="00B40200" w:rsidRPr="007A68B8" w:rsidRDefault="00B40200" w:rsidP="005D79F7">
      <w:pPr>
        <w:spacing w:after="0" w:line="240" w:lineRule="auto"/>
        <w:jc w:val="both"/>
        <w:rPr>
          <w:sz w:val="18"/>
          <w:szCs w:val="16"/>
          <w:lang w:val="es-MX"/>
        </w:rPr>
      </w:pPr>
      <w:r w:rsidRPr="007A68B8">
        <w:rPr>
          <w:rStyle w:val="Refdenotaalpie"/>
          <w:sz w:val="24"/>
        </w:rPr>
        <w:footnoteRef/>
      </w:r>
      <w:r w:rsidRPr="007A68B8">
        <w:rPr>
          <w:sz w:val="18"/>
          <w:szCs w:val="16"/>
        </w:rPr>
        <w:t xml:space="preserve">  </w:t>
      </w:r>
      <w:r w:rsidRPr="007A68B8">
        <w:rPr>
          <w:rFonts w:ascii="Arial Narrow" w:hAnsi="Arial Narrow"/>
          <w:sz w:val="18"/>
          <w:szCs w:val="16"/>
        </w:rPr>
        <w:t>Tomado: Del Boletín Técnico – Cuentas Trimestrales – Colombia Producto Interno Bruto – PIB, I</w:t>
      </w:r>
      <w:r w:rsidR="00F30D1C">
        <w:rPr>
          <w:rFonts w:ascii="Arial Narrow" w:hAnsi="Arial Narrow"/>
          <w:sz w:val="18"/>
          <w:szCs w:val="16"/>
        </w:rPr>
        <w:t>V</w:t>
      </w:r>
      <w:r w:rsidRPr="007A68B8">
        <w:rPr>
          <w:rFonts w:ascii="Arial Narrow" w:hAnsi="Arial Narrow"/>
          <w:sz w:val="18"/>
          <w:szCs w:val="16"/>
        </w:rPr>
        <w:t xml:space="preserve"> Trimestre 202</w:t>
      </w:r>
      <w:r w:rsidR="00F30D1C">
        <w:rPr>
          <w:rFonts w:ascii="Arial Narrow" w:hAnsi="Arial Narrow"/>
          <w:sz w:val="18"/>
          <w:szCs w:val="16"/>
        </w:rPr>
        <w:t>5</w:t>
      </w:r>
      <w:r w:rsidRPr="007A68B8">
        <w:rPr>
          <w:rFonts w:ascii="Arial Narrow" w:hAnsi="Arial Narrow"/>
          <w:sz w:val="18"/>
          <w:szCs w:val="16"/>
        </w:rPr>
        <w:t>. Departamento Administrativo Nacional de Estadística.</w:t>
      </w:r>
    </w:p>
  </w:footnote>
  <w:footnote w:id="2">
    <w:p w14:paraId="09C88E14" w14:textId="77777777" w:rsidR="00B40200" w:rsidRPr="007A68B8" w:rsidRDefault="00B40200" w:rsidP="005D79F7">
      <w:pPr>
        <w:pStyle w:val="Textonotapie"/>
        <w:rPr>
          <w:rFonts w:ascii="Arial Narrow" w:hAnsi="Arial Narrow"/>
          <w:sz w:val="18"/>
        </w:rPr>
      </w:pPr>
      <w:r w:rsidRPr="007A68B8">
        <w:rPr>
          <w:rStyle w:val="Refdenotaalpie"/>
          <w:rFonts w:ascii="Arial Narrow" w:hAnsi="Arial Narrow"/>
          <w:sz w:val="18"/>
        </w:rPr>
        <w:footnoteRef/>
      </w:r>
      <w:r w:rsidRPr="007A68B8">
        <w:rPr>
          <w:rFonts w:ascii="Arial Narrow" w:hAnsi="Arial Narrow"/>
          <w:sz w:val="18"/>
        </w:rPr>
        <w:t xml:space="preserve"> https://enciclopedia.banrepcultural.org/index.php/Sectores_economicos</w:t>
      </w:r>
    </w:p>
  </w:footnote>
  <w:footnote w:id="3">
    <w:p w14:paraId="6DFF3F13" w14:textId="77777777" w:rsidR="00B40200" w:rsidRPr="0054748A" w:rsidRDefault="00B40200" w:rsidP="005D79F7">
      <w:pPr>
        <w:pStyle w:val="Textonotapie"/>
        <w:rPr>
          <w:rFonts w:ascii="Arial Narrow" w:hAnsi="Arial Narrow"/>
        </w:rPr>
      </w:pPr>
      <w:r w:rsidRPr="0054748A">
        <w:rPr>
          <w:rStyle w:val="Refdenotaalpie"/>
          <w:rFonts w:ascii="Arial Narrow" w:hAnsi="Arial Narrow"/>
        </w:rPr>
        <w:footnoteRef/>
      </w:r>
      <w:r w:rsidRPr="0054748A">
        <w:rPr>
          <w:rFonts w:ascii="Arial Narrow" w:hAnsi="Arial Narrow"/>
        </w:rPr>
        <w:t xml:space="preserve"> https://www.ilo.org/global/industries-and-sectors/lang--es/index.htm</w:t>
      </w:r>
    </w:p>
  </w:footnote>
  <w:footnote w:id="4">
    <w:p w14:paraId="5EBC3948" w14:textId="77777777" w:rsidR="00DA39D0" w:rsidRDefault="00DA39D0" w:rsidP="00DA39D0">
      <w:pPr>
        <w:rPr>
          <w:rFonts w:ascii="Arial Narrow" w:hAnsi="Arial Narrow"/>
          <w:sz w:val="16"/>
          <w:szCs w:val="16"/>
        </w:rPr>
      </w:pPr>
      <w:r>
        <w:rPr>
          <w:rFonts w:ascii="Arial Narrow" w:hAnsi="Arial Narrow"/>
          <w:sz w:val="16"/>
          <w:szCs w:val="16"/>
        </w:rPr>
        <w:footnoteRef/>
      </w:r>
      <w:r>
        <w:rPr>
          <w:rFonts w:ascii="Arial Narrow" w:hAnsi="Arial Narrow"/>
          <w:sz w:val="16"/>
          <w:szCs w:val="16"/>
        </w:rPr>
        <w:t xml:space="preserve"> https://www.colombiacompra.gov.co/sites/cce_public/files/cce_documents/cce_manual_requisitos_habilitantes.pdf</w:t>
      </w:r>
    </w:p>
  </w:footnote>
  <w:footnote w:id="5">
    <w:p w14:paraId="75EE7085" w14:textId="77777777" w:rsidR="00DA39D0" w:rsidRDefault="00DA39D0" w:rsidP="00DA39D0">
      <w:pPr>
        <w:rPr>
          <w:rFonts w:ascii="Arial Narrow" w:hAnsi="Arial Narrow"/>
          <w:sz w:val="16"/>
          <w:szCs w:val="16"/>
        </w:rPr>
      </w:pPr>
      <w:r>
        <w:rPr>
          <w:rFonts w:ascii="Arial Narrow" w:hAnsi="Arial Narrow"/>
          <w:sz w:val="16"/>
          <w:szCs w:val="16"/>
        </w:rPr>
        <w:footnoteRef/>
      </w:r>
      <w:r>
        <w:rPr>
          <w:rFonts w:ascii="Arial Narrow" w:hAnsi="Arial Narrow"/>
          <w:sz w:val="16"/>
          <w:szCs w:val="16"/>
        </w:rPr>
        <w:t xml:space="preserve"> </w:t>
      </w:r>
      <w:proofErr w:type="spellStart"/>
      <w:r>
        <w:rPr>
          <w:rFonts w:ascii="Arial Narrow" w:hAnsi="Arial Narrow"/>
          <w:sz w:val="16"/>
          <w:szCs w:val="16"/>
        </w:rPr>
        <w:t>Ibídem</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jc w:val="center"/>
      <w:tblCellMar>
        <w:left w:w="70" w:type="dxa"/>
        <w:right w:w="70" w:type="dxa"/>
      </w:tblCellMar>
      <w:tblLook w:val="04A0" w:firstRow="1" w:lastRow="0" w:firstColumn="1" w:lastColumn="0" w:noHBand="0" w:noVBand="1"/>
    </w:tblPr>
    <w:tblGrid>
      <w:gridCol w:w="2905"/>
      <w:gridCol w:w="3882"/>
      <w:gridCol w:w="2639"/>
    </w:tblGrid>
    <w:tr w:rsidR="00B40200" w:rsidRPr="005730AA" w14:paraId="50B40F12" w14:textId="77777777" w:rsidTr="00D545DB">
      <w:trPr>
        <w:trHeight w:val="300"/>
        <w:jc w:val="center"/>
      </w:trPr>
      <w:tc>
        <w:tcPr>
          <w:tcW w:w="2905" w:type="dxa"/>
          <w:vMerge w:val="restart"/>
          <w:tcBorders>
            <w:top w:val="single" w:sz="8" w:space="0" w:color="auto"/>
            <w:left w:val="single" w:sz="8" w:space="0" w:color="auto"/>
            <w:bottom w:val="single" w:sz="8" w:space="0" w:color="000000"/>
            <w:right w:val="single" w:sz="4" w:space="0" w:color="000000"/>
          </w:tcBorders>
          <w:shd w:val="clear" w:color="000000" w:fill="FFFFFF"/>
          <w:vAlign w:val="center"/>
          <w:hideMark/>
        </w:tcPr>
        <w:p w14:paraId="63A303F2" w14:textId="77777777" w:rsidR="00B40200" w:rsidRPr="005730AA" w:rsidRDefault="00B40200" w:rsidP="00FA631D">
          <w:pPr>
            <w:spacing w:after="0"/>
            <w:jc w:val="center"/>
            <w:rPr>
              <w:rFonts w:ascii="Arial" w:hAnsi="Arial" w:cs="Arial"/>
              <w:color w:val="FF0000"/>
              <w:sz w:val="18"/>
              <w:szCs w:val="18"/>
              <w:lang w:eastAsia="es-CO"/>
            </w:rPr>
          </w:pPr>
          <w:r>
            <w:rPr>
              <w:noProof/>
              <w:lang w:eastAsia="es-CO"/>
            </w:rPr>
            <w:drawing>
              <wp:anchor distT="0" distB="0" distL="114300" distR="114300" simplePos="0" relativeHeight="251659264" behindDoc="0" locked="0" layoutInCell="1" allowOverlap="1" wp14:anchorId="3CF4F3A9" wp14:editId="1C347A3B">
                <wp:simplePos x="0" y="0"/>
                <wp:positionH relativeFrom="margin">
                  <wp:posOffset>8255</wp:posOffset>
                </wp:positionH>
                <wp:positionV relativeFrom="paragraph">
                  <wp:posOffset>83820</wp:posOffset>
                </wp:positionV>
                <wp:extent cx="1781175" cy="640715"/>
                <wp:effectExtent l="0" t="0" r="9525"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a:picLocks noChangeAspect="1" noChangeArrowheads="1"/>
                        </pic:cNvPicPr>
                      </pic:nvPicPr>
                      <pic:blipFill>
                        <a:blip r:embed="rId1">
                          <a:extLst>
                            <a:ext uri="{28A0092B-C50C-407E-A947-70E740481C1C}">
                              <a14:useLocalDpi xmlns:a14="http://schemas.microsoft.com/office/drawing/2010/main" val="0"/>
                            </a:ext>
                          </a:extLst>
                        </a:blip>
                        <a:srcRect l="5872" r="4597"/>
                        <a:stretch>
                          <a:fillRect/>
                        </a:stretch>
                      </pic:blipFill>
                      <pic:spPr bwMode="auto">
                        <a:xfrm>
                          <a:off x="0" y="0"/>
                          <a:ext cx="178117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30AA">
            <w:rPr>
              <w:rFonts w:ascii="Arial" w:hAnsi="Arial" w:cs="Arial"/>
              <w:color w:val="FF0000"/>
              <w:sz w:val="18"/>
              <w:szCs w:val="18"/>
              <w:lang w:eastAsia="es-CO"/>
            </w:rPr>
            <w:t xml:space="preserve">                           </w:t>
          </w:r>
        </w:p>
      </w:tc>
      <w:tc>
        <w:tcPr>
          <w:tcW w:w="3882" w:type="dxa"/>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14:paraId="7FDB4F20" w14:textId="77777777" w:rsidR="00B40200" w:rsidRPr="005730AA" w:rsidRDefault="00B40200" w:rsidP="00FA631D">
          <w:pPr>
            <w:spacing w:after="0"/>
            <w:jc w:val="center"/>
            <w:rPr>
              <w:rFonts w:ascii="Arial" w:hAnsi="Arial" w:cs="Arial"/>
              <w:b/>
              <w:bCs/>
              <w:sz w:val="18"/>
              <w:szCs w:val="18"/>
              <w:lang w:eastAsia="es-CO"/>
            </w:rPr>
          </w:pPr>
          <w:r>
            <w:rPr>
              <w:rFonts w:ascii="Arial" w:hAnsi="Arial" w:cs="Arial"/>
              <w:b/>
              <w:bCs/>
              <w:sz w:val="18"/>
              <w:szCs w:val="18"/>
              <w:lang w:eastAsia="es-CO"/>
            </w:rPr>
            <w:t>GESTIÓN CONTRACTUAL</w:t>
          </w:r>
        </w:p>
      </w:tc>
      <w:tc>
        <w:tcPr>
          <w:tcW w:w="2639" w:type="dxa"/>
          <w:tcBorders>
            <w:top w:val="single" w:sz="8" w:space="0" w:color="auto"/>
            <w:left w:val="nil"/>
            <w:bottom w:val="nil"/>
            <w:right w:val="single" w:sz="8" w:space="0" w:color="000000"/>
          </w:tcBorders>
          <w:shd w:val="clear" w:color="000000" w:fill="FFFFFF"/>
          <w:vAlign w:val="center"/>
          <w:hideMark/>
        </w:tcPr>
        <w:p w14:paraId="1B777444" w14:textId="4BAB9298" w:rsidR="00B40200" w:rsidRPr="00B90F3D" w:rsidRDefault="00B40200" w:rsidP="00FA631D">
          <w:pPr>
            <w:spacing w:after="0" w:line="240" w:lineRule="auto"/>
            <w:rPr>
              <w:rFonts w:ascii="Arial" w:hAnsi="Arial" w:cs="Arial"/>
              <w:b/>
              <w:bCs/>
              <w:sz w:val="18"/>
              <w:szCs w:val="18"/>
              <w:lang w:eastAsia="es-CO"/>
            </w:rPr>
          </w:pPr>
          <w:r w:rsidRPr="00B90F3D">
            <w:rPr>
              <w:rFonts w:ascii="Arial" w:hAnsi="Arial" w:cs="Arial"/>
              <w:b/>
              <w:bCs/>
              <w:sz w:val="18"/>
              <w:szCs w:val="18"/>
              <w:lang w:eastAsia="es-CO"/>
            </w:rPr>
            <w:t>Código: A-GC-FR-057</w:t>
          </w:r>
        </w:p>
      </w:tc>
    </w:tr>
    <w:tr w:rsidR="00B40200" w:rsidRPr="005730AA" w14:paraId="4126E433" w14:textId="77777777" w:rsidTr="00D545DB">
      <w:trPr>
        <w:trHeight w:val="30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26B3127D" w14:textId="77777777" w:rsidR="00B40200" w:rsidRPr="005730AA" w:rsidRDefault="00B40200" w:rsidP="00FA631D">
          <w:pPr>
            <w:spacing w:after="0"/>
            <w:rPr>
              <w:rFonts w:ascii="Arial" w:hAnsi="Arial" w:cs="Arial"/>
              <w:color w:val="FF0000"/>
              <w:sz w:val="18"/>
              <w:szCs w:val="18"/>
              <w:lang w:eastAsia="es-CO"/>
            </w:rPr>
          </w:pPr>
        </w:p>
      </w:tc>
      <w:tc>
        <w:tcPr>
          <w:tcW w:w="3882" w:type="dxa"/>
          <w:vMerge/>
          <w:tcBorders>
            <w:top w:val="single" w:sz="8" w:space="0" w:color="auto"/>
            <w:left w:val="single" w:sz="4" w:space="0" w:color="auto"/>
            <w:bottom w:val="single" w:sz="4" w:space="0" w:color="000000"/>
            <w:right w:val="single" w:sz="4" w:space="0" w:color="000000"/>
          </w:tcBorders>
          <w:vAlign w:val="center"/>
          <w:hideMark/>
        </w:tcPr>
        <w:p w14:paraId="3ED8FCEF" w14:textId="77777777" w:rsidR="00B40200" w:rsidRPr="005730AA" w:rsidRDefault="00B40200" w:rsidP="00FA631D">
          <w:pPr>
            <w:spacing w:after="0"/>
            <w:rPr>
              <w:rFonts w:ascii="Arial" w:hAnsi="Arial" w:cs="Arial"/>
              <w:b/>
              <w:bCs/>
              <w:sz w:val="18"/>
              <w:szCs w:val="18"/>
              <w:lang w:eastAsia="es-CO"/>
            </w:rPr>
          </w:pPr>
        </w:p>
      </w:tc>
      <w:tc>
        <w:tcPr>
          <w:tcW w:w="2639" w:type="dxa"/>
          <w:tcBorders>
            <w:top w:val="nil"/>
            <w:left w:val="nil"/>
            <w:bottom w:val="nil"/>
            <w:right w:val="single" w:sz="8" w:space="0" w:color="000000"/>
          </w:tcBorders>
          <w:shd w:val="clear" w:color="000000" w:fill="FFFFFF"/>
          <w:vAlign w:val="center"/>
          <w:hideMark/>
        </w:tcPr>
        <w:p w14:paraId="256C2728" w14:textId="77777777" w:rsidR="00B40200" w:rsidRPr="00B90F3D" w:rsidRDefault="00B40200" w:rsidP="00FA631D">
          <w:pPr>
            <w:spacing w:after="0" w:line="240" w:lineRule="auto"/>
            <w:rPr>
              <w:rFonts w:ascii="Arial" w:hAnsi="Arial" w:cs="Arial"/>
              <w:b/>
              <w:bCs/>
              <w:sz w:val="18"/>
              <w:szCs w:val="18"/>
              <w:lang w:eastAsia="es-CO"/>
            </w:rPr>
          </w:pPr>
          <w:r w:rsidRPr="00B90F3D">
            <w:rPr>
              <w:rFonts w:ascii="Arial" w:hAnsi="Arial" w:cs="Arial"/>
              <w:b/>
              <w:bCs/>
              <w:sz w:val="18"/>
              <w:szCs w:val="18"/>
              <w:lang w:eastAsia="es-CO"/>
            </w:rPr>
            <w:t>Versión: 01</w:t>
          </w:r>
        </w:p>
      </w:tc>
    </w:tr>
    <w:tr w:rsidR="00B40200" w:rsidRPr="005730AA" w14:paraId="418B4EC1" w14:textId="77777777" w:rsidTr="00D545DB">
      <w:trPr>
        <w:trHeight w:val="45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0C0D5AFD" w14:textId="77777777" w:rsidR="00B40200" w:rsidRPr="005730AA" w:rsidRDefault="00B40200" w:rsidP="00FA631D">
          <w:pPr>
            <w:spacing w:after="0"/>
            <w:rPr>
              <w:rFonts w:ascii="Arial" w:hAnsi="Arial" w:cs="Arial"/>
              <w:color w:val="FF0000"/>
              <w:sz w:val="18"/>
              <w:szCs w:val="18"/>
              <w:lang w:eastAsia="es-CO"/>
            </w:rPr>
          </w:pPr>
        </w:p>
      </w:tc>
      <w:tc>
        <w:tcPr>
          <w:tcW w:w="3882" w:type="dxa"/>
          <w:vMerge w:val="restart"/>
          <w:tcBorders>
            <w:top w:val="single" w:sz="4" w:space="0" w:color="auto"/>
            <w:left w:val="single" w:sz="4" w:space="0" w:color="auto"/>
            <w:bottom w:val="single" w:sz="8" w:space="0" w:color="000000"/>
            <w:right w:val="single" w:sz="4" w:space="0" w:color="000000"/>
          </w:tcBorders>
          <w:shd w:val="clear" w:color="000000" w:fill="FFFFFF"/>
          <w:noWrap/>
          <w:vAlign w:val="center"/>
          <w:hideMark/>
        </w:tcPr>
        <w:p w14:paraId="776842F2" w14:textId="19AEA534" w:rsidR="00B40200" w:rsidRPr="005730AA" w:rsidRDefault="00B40200" w:rsidP="00FA631D">
          <w:pPr>
            <w:spacing w:after="0" w:line="240" w:lineRule="auto"/>
            <w:jc w:val="center"/>
            <w:rPr>
              <w:rFonts w:ascii="Arial" w:hAnsi="Arial" w:cs="Arial"/>
              <w:b/>
              <w:bCs/>
              <w:sz w:val="18"/>
              <w:szCs w:val="18"/>
              <w:lang w:eastAsia="es-CO"/>
            </w:rPr>
          </w:pPr>
          <w:r>
            <w:rPr>
              <w:rFonts w:ascii="Arial" w:hAnsi="Arial" w:cs="Arial"/>
              <w:b/>
              <w:bCs/>
              <w:sz w:val="18"/>
              <w:szCs w:val="18"/>
              <w:lang w:eastAsia="es-CO"/>
            </w:rPr>
            <w:t>ANÁLISIS DEL SECTOR</w:t>
          </w:r>
        </w:p>
      </w:tc>
      <w:tc>
        <w:tcPr>
          <w:tcW w:w="2639" w:type="dxa"/>
          <w:vMerge w:val="restart"/>
          <w:tcBorders>
            <w:top w:val="nil"/>
            <w:left w:val="single" w:sz="4" w:space="0" w:color="auto"/>
            <w:bottom w:val="single" w:sz="8" w:space="0" w:color="000000"/>
            <w:right w:val="single" w:sz="8" w:space="0" w:color="000000"/>
          </w:tcBorders>
          <w:shd w:val="clear" w:color="000000" w:fill="FFFFFF"/>
          <w:noWrap/>
          <w:vAlign w:val="center"/>
          <w:hideMark/>
        </w:tcPr>
        <w:p w14:paraId="75DD301A" w14:textId="6AB93345" w:rsidR="00B40200" w:rsidRPr="00B90F3D" w:rsidRDefault="00B40200" w:rsidP="00A60B47">
          <w:pPr>
            <w:spacing w:after="0" w:line="240" w:lineRule="auto"/>
            <w:rPr>
              <w:rFonts w:ascii="Arial" w:hAnsi="Arial" w:cs="Arial"/>
              <w:b/>
              <w:bCs/>
              <w:sz w:val="18"/>
              <w:szCs w:val="18"/>
              <w:lang w:eastAsia="es-CO"/>
            </w:rPr>
          </w:pPr>
          <w:r w:rsidRPr="00B90F3D">
            <w:rPr>
              <w:rFonts w:ascii="Arial" w:hAnsi="Arial" w:cs="Arial"/>
              <w:b/>
              <w:bCs/>
              <w:sz w:val="18"/>
              <w:szCs w:val="18"/>
              <w:lang w:eastAsia="es-CO"/>
            </w:rPr>
            <w:t>Fecha aprobación:  18/03/2025</w:t>
          </w:r>
        </w:p>
      </w:tc>
    </w:tr>
    <w:tr w:rsidR="00B40200" w:rsidRPr="005730AA" w14:paraId="6BC9EF79" w14:textId="77777777" w:rsidTr="00D545DB">
      <w:trPr>
        <w:trHeight w:val="45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18591EF4" w14:textId="77777777" w:rsidR="00B40200" w:rsidRPr="005730AA" w:rsidRDefault="00B40200" w:rsidP="00FA631D">
          <w:pPr>
            <w:rPr>
              <w:rFonts w:ascii="Arial" w:hAnsi="Arial" w:cs="Arial"/>
              <w:color w:val="FF0000"/>
              <w:sz w:val="18"/>
              <w:szCs w:val="18"/>
              <w:lang w:eastAsia="es-CO"/>
            </w:rPr>
          </w:pPr>
        </w:p>
      </w:tc>
      <w:tc>
        <w:tcPr>
          <w:tcW w:w="3882" w:type="dxa"/>
          <w:vMerge/>
          <w:tcBorders>
            <w:top w:val="single" w:sz="4" w:space="0" w:color="auto"/>
            <w:left w:val="single" w:sz="4" w:space="0" w:color="auto"/>
            <w:bottom w:val="single" w:sz="8" w:space="0" w:color="000000"/>
            <w:right w:val="single" w:sz="4" w:space="0" w:color="000000"/>
          </w:tcBorders>
          <w:vAlign w:val="center"/>
          <w:hideMark/>
        </w:tcPr>
        <w:p w14:paraId="2E052C24" w14:textId="77777777" w:rsidR="00B40200" w:rsidRPr="005730AA" w:rsidRDefault="00B40200" w:rsidP="00FA631D">
          <w:pPr>
            <w:rPr>
              <w:rFonts w:ascii="Arial" w:hAnsi="Arial" w:cs="Arial"/>
              <w:b/>
              <w:bCs/>
              <w:sz w:val="18"/>
              <w:szCs w:val="18"/>
              <w:lang w:eastAsia="es-CO"/>
            </w:rPr>
          </w:pPr>
        </w:p>
      </w:tc>
      <w:tc>
        <w:tcPr>
          <w:tcW w:w="2639" w:type="dxa"/>
          <w:vMerge/>
          <w:tcBorders>
            <w:top w:val="nil"/>
            <w:left w:val="single" w:sz="4" w:space="0" w:color="auto"/>
            <w:bottom w:val="single" w:sz="8" w:space="0" w:color="000000"/>
            <w:right w:val="single" w:sz="8" w:space="0" w:color="000000"/>
          </w:tcBorders>
          <w:vAlign w:val="center"/>
          <w:hideMark/>
        </w:tcPr>
        <w:p w14:paraId="177B2F15" w14:textId="77777777" w:rsidR="00B40200" w:rsidRPr="005730AA" w:rsidRDefault="00B40200" w:rsidP="00FA631D">
          <w:pPr>
            <w:rPr>
              <w:rFonts w:ascii="Arial" w:hAnsi="Arial" w:cs="Arial"/>
              <w:b/>
              <w:bCs/>
              <w:sz w:val="18"/>
              <w:szCs w:val="18"/>
              <w:lang w:eastAsia="es-CO"/>
            </w:rPr>
          </w:pPr>
        </w:p>
      </w:tc>
    </w:tr>
  </w:tbl>
  <w:p w14:paraId="2C955290" w14:textId="77777777" w:rsidR="00B40200" w:rsidRDefault="00B402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B5E"/>
    <w:multiLevelType w:val="multilevel"/>
    <w:tmpl w:val="B62C53E4"/>
    <w:styleLink w:val="WW8Num6"/>
    <w:lvl w:ilvl="0">
      <w:start w:val="1"/>
      <w:numFmt w:val="decimal"/>
      <w:lvlText w:val="%1."/>
      <w:lvlJc w:val="left"/>
      <w:rPr>
        <w:rFonts w:ascii="Arial" w:eastAsia="Times New Roman" w:hAnsi="Arial" w:cs="Arial"/>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5040904"/>
    <w:multiLevelType w:val="hybridMultilevel"/>
    <w:tmpl w:val="12FA6E3C"/>
    <w:lvl w:ilvl="0" w:tplc="240A000D">
      <w:start w:val="1"/>
      <w:numFmt w:val="bullet"/>
      <w:lvlText w:val=""/>
      <w:lvlJc w:val="left"/>
      <w:pPr>
        <w:ind w:left="720" w:hanging="360"/>
      </w:pPr>
      <w:rPr>
        <w:rFonts w:ascii="Wingdings" w:hAnsi="Wingdings" w:hint="default"/>
      </w:rPr>
    </w:lvl>
    <w:lvl w:ilvl="1" w:tplc="240A000D">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5B49B1"/>
    <w:multiLevelType w:val="hybridMultilevel"/>
    <w:tmpl w:val="71485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1C2AB3"/>
    <w:multiLevelType w:val="multilevel"/>
    <w:tmpl w:val="A07C3DE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1D1C0F"/>
    <w:multiLevelType w:val="hybridMultilevel"/>
    <w:tmpl w:val="62086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1F0491"/>
    <w:multiLevelType w:val="hybridMultilevel"/>
    <w:tmpl w:val="5F42BF6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363B18"/>
    <w:multiLevelType w:val="hybridMultilevel"/>
    <w:tmpl w:val="6910E6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DFC3CF1"/>
    <w:multiLevelType w:val="multilevel"/>
    <w:tmpl w:val="2FE01BE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C369B8"/>
    <w:multiLevelType w:val="hybridMultilevel"/>
    <w:tmpl w:val="DE8AE05A"/>
    <w:lvl w:ilvl="0" w:tplc="240A000F">
      <w:start w:val="2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D1690A"/>
    <w:multiLevelType w:val="hybridMultilevel"/>
    <w:tmpl w:val="583436EE"/>
    <w:lvl w:ilvl="0" w:tplc="240A000F">
      <w:start w:val="1"/>
      <w:numFmt w:val="decimal"/>
      <w:lvlText w:val="%1."/>
      <w:lvlJc w:val="left"/>
      <w:pPr>
        <w:ind w:left="720" w:hanging="360"/>
      </w:pPr>
      <w:rPr>
        <w:rFonts w:hint="default"/>
      </w:rPr>
    </w:lvl>
    <w:lvl w:ilvl="1" w:tplc="ED78CDB6">
      <w:start w:val="1"/>
      <w:numFmt w:val="lowerLetter"/>
      <w:lvlText w:val="%2)"/>
      <w:lvlJc w:val="left"/>
      <w:pPr>
        <w:ind w:left="1440" w:hanging="360"/>
      </w:pPr>
      <w:rPr>
        <w:rFonts w:hint="default"/>
      </w:rPr>
    </w:lvl>
    <w:lvl w:ilvl="2" w:tplc="95B005CE">
      <w:numFmt w:val="bullet"/>
      <w:lvlText w:val="•"/>
      <w:lvlJc w:val="left"/>
      <w:pPr>
        <w:ind w:left="2340" w:hanging="360"/>
      </w:pPr>
      <w:rPr>
        <w:rFonts w:ascii="Arial Narrow" w:eastAsia="Arial" w:hAnsi="Arial Narrow"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425A51"/>
    <w:multiLevelType w:val="hybridMultilevel"/>
    <w:tmpl w:val="E592A712"/>
    <w:lvl w:ilvl="0" w:tplc="240A000F">
      <w:start w:val="1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3D634C"/>
    <w:multiLevelType w:val="hybridMultilevel"/>
    <w:tmpl w:val="58B200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83D71EB"/>
    <w:multiLevelType w:val="multilevel"/>
    <w:tmpl w:val="B810B1D6"/>
    <w:lvl w:ilvl="0">
      <w:start w:val="1"/>
      <w:numFmt w:val="decimal"/>
      <w:lvlText w:val="%1"/>
      <w:lvlJc w:val="left"/>
      <w:pPr>
        <w:ind w:left="432" w:hanging="432"/>
      </w:pPr>
      <w:rPr>
        <w:color w:val="FFFFFF"/>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832A67"/>
    <w:multiLevelType w:val="hybridMultilevel"/>
    <w:tmpl w:val="B28881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0C3763C"/>
    <w:multiLevelType w:val="hybridMultilevel"/>
    <w:tmpl w:val="97168BE2"/>
    <w:lvl w:ilvl="0" w:tplc="240A000F">
      <w:start w:val="2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27A36FD"/>
    <w:multiLevelType w:val="hybridMultilevel"/>
    <w:tmpl w:val="FA5416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CF003AF"/>
    <w:multiLevelType w:val="hybridMultilevel"/>
    <w:tmpl w:val="15B292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9063C7B"/>
    <w:multiLevelType w:val="hybridMultilevel"/>
    <w:tmpl w:val="E3107B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D41E88"/>
    <w:multiLevelType w:val="hybridMultilevel"/>
    <w:tmpl w:val="D58CFC76"/>
    <w:lvl w:ilvl="0" w:tplc="240A000F">
      <w:start w:val="2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184F99"/>
    <w:multiLevelType w:val="hybridMultilevel"/>
    <w:tmpl w:val="A022CB68"/>
    <w:lvl w:ilvl="0" w:tplc="5074CF5A">
      <w:start w:val="1"/>
      <w:numFmt w:val="bullet"/>
      <w:lvlText w:val=""/>
      <w:lvlJc w:val="left"/>
      <w:pPr>
        <w:ind w:left="720" w:hanging="360"/>
      </w:pPr>
      <w:rPr>
        <w:rFonts w:ascii="Wingdings" w:hAnsi="Wingdings" w:hint="default"/>
        <w:color w:val="000000" w:themeColor="text1"/>
      </w:rPr>
    </w:lvl>
    <w:lvl w:ilvl="1" w:tplc="D1789BF0">
      <w:numFmt w:val="bullet"/>
      <w:lvlText w:val="–"/>
      <w:lvlJc w:val="left"/>
      <w:pPr>
        <w:ind w:left="1440" w:hanging="360"/>
      </w:pPr>
      <w:rPr>
        <w:rFonts w:ascii="Century Gothic" w:eastAsia="Calibri" w:hAnsi="Century Gothic"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8811A98"/>
    <w:multiLevelType w:val="hybridMultilevel"/>
    <w:tmpl w:val="3458785E"/>
    <w:lvl w:ilvl="0" w:tplc="37E6CDB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DCF1CD6"/>
    <w:multiLevelType w:val="hybridMultilevel"/>
    <w:tmpl w:val="D4381870"/>
    <w:lvl w:ilvl="0" w:tplc="240A000F">
      <w:start w:val="2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38A6CF3"/>
    <w:multiLevelType w:val="hybridMultilevel"/>
    <w:tmpl w:val="D24EA0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D408DB"/>
    <w:multiLevelType w:val="hybridMultilevel"/>
    <w:tmpl w:val="32F09716"/>
    <w:lvl w:ilvl="0" w:tplc="FFFFFFFF">
      <w:start w:val="1"/>
      <w:numFmt w:val="decimal"/>
      <w:lvlText w:val="%1."/>
      <w:lvlJc w:val="left"/>
      <w:pPr>
        <w:ind w:left="1080" w:hanging="360"/>
      </w:pPr>
      <w:rPr>
        <w:rFonts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5" w15:restartNumberingAfterBreak="0">
    <w:nsid w:val="6C500820"/>
    <w:multiLevelType w:val="hybridMultilevel"/>
    <w:tmpl w:val="D29E90B8"/>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DC53C6"/>
    <w:multiLevelType w:val="multilevel"/>
    <w:tmpl w:val="214CC7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3E1341"/>
    <w:multiLevelType w:val="hybridMultilevel"/>
    <w:tmpl w:val="3458785E"/>
    <w:lvl w:ilvl="0" w:tplc="37E6CDB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0552E4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C97328"/>
    <w:multiLevelType w:val="hybridMultilevel"/>
    <w:tmpl w:val="32F09716"/>
    <w:lvl w:ilvl="0" w:tplc="FFFFFFFF">
      <w:start w:val="1"/>
      <w:numFmt w:val="decimal"/>
      <w:lvlText w:val="%1."/>
      <w:lvlJc w:val="left"/>
      <w:pPr>
        <w:ind w:left="1080" w:hanging="360"/>
      </w:pPr>
      <w:rPr>
        <w:rFonts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3C47360"/>
    <w:multiLevelType w:val="hybridMultilevel"/>
    <w:tmpl w:val="794E24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7E30B22"/>
    <w:multiLevelType w:val="hybridMultilevel"/>
    <w:tmpl w:val="07AEE504"/>
    <w:lvl w:ilvl="0" w:tplc="240A000F">
      <w:start w:val="2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DF73D46"/>
    <w:multiLevelType w:val="multilevel"/>
    <w:tmpl w:val="A7AC12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340473613">
    <w:abstractNumId w:val="12"/>
  </w:num>
  <w:num w:numId="2" w16cid:durableId="2128810934">
    <w:abstractNumId w:val="28"/>
  </w:num>
  <w:num w:numId="3" w16cid:durableId="275067898">
    <w:abstractNumId w:val="9"/>
  </w:num>
  <w:num w:numId="4" w16cid:durableId="1574923611">
    <w:abstractNumId w:val="32"/>
  </w:num>
  <w:num w:numId="5" w16cid:durableId="1213423489">
    <w:abstractNumId w:val="0"/>
  </w:num>
  <w:num w:numId="6" w16cid:durableId="1615212754">
    <w:abstractNumId w:val="24"/>
  </w:num>
  <w:num w:numId="7" w16cid:durableId="2111582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034476">
    <w:abstractNumId w:val="17"/>
  </w:num>
  <w:num w:numId="9" w16cid:durableId="160170331">
    <w:abstractNumId w:val="11"/>
  </w:num>
  <w:num w:numId="10" w16cid:durableId="1119645940">
    <w:abstractNumId w:val="27"/>
  </w:num>
  <w:num w:numId="11" w16cid:durableId="1093936443">
    <w:abstractNumId w:val="19"/>
  </w:num>
  <w:num w:numId="12" w16cid:durableId="2073045247">
    <w:abstractNumId w:val="7"/>
  </w:num>
  <w:num w:numId="13" w16cid:durableId="1404329064">
    <w:abstractNumId w:val="26"/>
  </w:num>
  <w:num w:numId="14" w16cid:durableId="2130974074">
    <w:abstractNumId w:val="25"/>
  </w:num>
  <w:num w:numId="15" w16cid:durableId="1995446786">
    <w:abstractNumId w:val="30"/>
  </w:num>
  <w:num w:numId="16" w16cid:durableId="1021324353">
    <w:abstractNumId w:val="4"/>
  </w:num>
  <w:num w:numId="17" w16cid:durableId="2007827247">
    <w:abstractNumId w:val="13"/>
  </w:num>
  <w:num w:numId="18" w16cid:durableId="938760698">
    <w:abstractNumId w:val="3"/>
  </w:num>
  <w:num w:numId="19" w16cid:durableId="1264148387">
    <w:abstractNumId w:val="5"/>
  </w:num>
  <w:num w:numId="20" w16cid:durableId="1004166267">
    <w:abstractNumId w:val="20"/>
  </w:num>
  <w:num w:numId="21" w16cid:durableId="788473306">
    <w:abstractNumId w:val="2"/>
  </w:num>
  <w:num w:numId="22" w16cid:durableId="2053187284">
    <w:abstractNumId w:val="16"/>
  </w:num>
  <w:num w:numId="23" w16cid:durableId="1351764234">
    <w:abstractNumId w:val="23"/>
  </w:num>
  <w:num w:numId="24" w16cid:durableId="9306428">
    <w:abstractNumId w:val="15"/>
  </w:num>
  <w:num w:numId="25" w16cid:durableId="1806701811">
    <w:abstractNumId w:val="21"/>
  </w:num>
  <w:num w:numId="26" w16cid:durableId="1742943230">
    <w:abstractNumId w:val="14"/>
  </w:num>
  <w:num w:numId="27" w16cid:durableId="1244027845">
    <w:abstractNumId w:val="18"/>
  </w:num>
  <w:num w:numId="28" w16cid:durableId="240410443">
    <w:abstractNumId w:val="29"/>
  </w:num>
  <w:num w:numId="29" w16cid:durableId="1281492437">
    <w:abstractNumId w:val="10"/>
  </w:num>
  <w:num w:numId="30" w16cid:durableId="109593863">
    <w:abstractNumId w:val="22"/>
  </w:num>
  <w:num w:numId="31" w16cid:durableId="1313020518">
    <w:abstractNumId w:val="6"/>
  </w:num>
  <w:num w:numId="32" w16cid:durableId="1655067232">
    <w:abstractNumId w:val="1"/>
  </w:num>
  <w:num w:numId="33" w16cid:durableId="1574581120">
    <w:abstractNumId w:val="31"/>
  </w:num>
  <w:num w:numId="34" w16cid:durableId="4184785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A3E"/>
    <w:rsid w:val="00001B0E"/>
    <w:rsid w:val="00006ADE"/>
    <w:rsid w:val="0001344F"/>
    <w:rsid w:val="0001436C"/>
    <w:rsid w:val="00017B5B"/>
    <w:rsid w:val="00021E1A"/>
    <w:rsid w:val="00023534"/>
    <w:rsid w:val="00026F35"/>
    <w:rsid w:val="00030ED5"/>
    <w:rsid w:val="00032419"/>
    <w:rsid w:val="0003626B"/>
    <w:rsid w:val="00037698"/>
    <w:rsid w:val="000378CE"/>
    <w:rsid w:val="00041903"/>
    <w:rsid w:val="00042C23"/>
    <w:rsid w:val="0004335D"/>
    <w:rsid w:val="00045DB8"/>
    <w:rsid w:val="000466B7"/>
    <w:rsid w:val="00051921"/>
    <w:rsid w:val="00053E8E"/>
    <w:rsid w:val="000548E8"/>
    <w:rsid w:val="00054F29"/>
    <w:rsid w:val="00055441"/>
    <w:rsid w:val="0005576F"/>
    <w:rsid w:val="00055FA7"/>
    <w:rsid w:val="0005737C"/>
    <w:rsid w:val="00061490"/>
    <w:rsid w:val="00063B5A"/>
    <w:rsid w:val="00064B04"/>
    <w:rsid w:val="000657DD"/>
    <w:rsid w:val="0006721C"/>
    <w:rsid w:val="00070EB7"/>
    <w:rsid w:val="00073B16"/>
    <w:rsid w:val="000758FF"/>
    <w:rsid w:val="00081E27"/>
    <w:rsid w:val="000837B1"/>
    <w:rsid w:val="000911CB"/>
    <w:rsid w:val="0009162A"/>
    <w:rsid w:val="00092497"/>
    <w:rsid w:val="00092818"/>
    <w:rsid w:val="00093BA1"/>
    <w:rsid w:val="000A02EF"/>
    <w:rsid w:val="000A0554"/>
    <w:rsid w:val="000A0A81"/>
    <w:rsid w:val="000A10E1"/>
    <w:rsid w:val="000A351D"/>
    <w:rsid w:val="000A35C9"/>
    <w:rsid w:val="000A6771"/>
    <w:rsid w:val="000B1738"/>
    <w:rsid w:val="000B1856"/>
    <w:rsid w:val="000B18AE"/>
    <w:rsid w:val="000B2691"/>
    <w:rsid w:val="000B3561"/>
    <w:rsid w:val="000B42D2"/>
    <w:rsid w:val="000B55E7"/>
    <w:rsid w:val="000B7532"/>
    <w:rsid w:val="000B7F65"/>
    <w:rsid w:val="000D1B60"/>
    <w:rsid w:val="000E2B0C"/>
    <w:rsid w:val="000E7C45"/>
    <w:rsid w:val="000F0BDD"/>
    <w:rsid w:val="000F3084"/>
    <w:rsid w:val="000F3831"/>
    <w:rsid w:val="000F51B0"/>
    <w:rsid w:val="000F62FF"/>
    <w:rsid w:val="000F6521"/>
    <w:rsid w:val="000F7FF9"/>
    <w:rsid w:val="00101379"/>
    <w:rsid w:val="0010137B"/>
    <w:rsid w:val="00102EEE"/>
    <w:rsid w:val="00103524"/>
    <w:rsid w:val="00103A26"/>
    <w:rsid w:val="00105E8C"/>
    <w:rsid w:val="0011134C"/>
    <w:rsid w:val="00115450"/>
    <w:rsid w:val="00120AD0"/>
    <w:rsid w:val="0012305B"/>
    <w:rsid w:val="00123E57"/>
    <w:rsid w:val="00125A48"/>
    <w:rsid w:val="00125DDD"/>
    <w:rsid w:val="00132C43"/>
    <w:rsid w:val="001339A0"/>
    <w:rsid w:val="001358D6"/>
    <w:rsid w:val="00137BB1"/>
    <w:rsid w:val="00141CBE"/>
    <w:rsid w:val="00141E01"/>
    <w:rsid w:val="0014461A"/>
    <w:rsid w:val="00147460"/>
    <w:rsid w:val="0015167C"/>
    <w:rsid w:val="001535A7"/>
    <w:rsid w:val="00155968"/>
    <w:rsid w:val="00162A07"/>
    <w:rsid w:val="0016556D"/>
    <w:rsid w:val="00166961"/>
    <w:rsid w:val="001672C0"/>
    <w:rsid w:val="00167595"/>
    <w:rsid w:val="00170524"/>
    <w:rsid w:val="00171C41"/>
    <w:rsid w:val="0017308D"/>
    <w:rsid w:val="0017431A"/>
    <w:rsid w:val="00180DD6"/>
    <w:rsid w:val="00181352"/>
    <w:rsid w:val="00182502"/>
    <w:rsid w:val="00187398"/>
    <w:rsid w:val="00190476"/>
    <w:rsid w:val="00191E28"/>
    <w:rsid w:val="001929AD"/>
    <w:rsid w:val="001A09E5"/>
    <w:rsid w:val="001A1468"/>
    <w:rsid w:val="001A503C"/>
    <w:rsid w:val="001B0E0C"/>
    <w:rsid w:val="001B1874"/>
    <w:rsid w:val="001B1EBF"/>
    <w:rsid w:val="001B641F"/>
    <w:rsid w:val="001B6C3C"/>
    <w:rsid w:val="001B7D6F"/>
    <w:rsid w:val="001C0100"/>
    <w:rsid w:val="001C0219"/>
    <w:rsid w:val="001C1856"/>
    <w:rsid w:val="001C22EE"/>
    <w:rsid w:val="001C323F"/>
    <w:rsid w:val="001C3D46"/>
    <w:rsid w:val="001C4E70"/>
    <w:rsid w:val="001C64AB"/>
    <w:rsid w:val="001D35F6"/>
    <w:rsid w:val="001D3F0C"/>
    <w:rsid w:val="001D48BC"/>
    <w:rsid w:val="001D69B9"/>
    <w:rsid w:val="001E1065"/>
    <w:rsid w:val="001E38E5"/>
    <w:rsid w:val="001E6F8C"/>
    <w:rsid w:val="001F451D"/>
    <w:rsid w:val="001F69F0"/>
    <w:rsid w:val="002055A0"/>
    <w:rsid w:val="002116CA"/>
    <w:rsid w:val="002172F2"/>
    <w:rsid w:val="00221A0E"/>
    <w:rsid w:val="0022334F"/>
    <w:rsid w:val="00230411"/>
    <w:rsid w:val="00230808"/>
    <w:rsid w:val="0023090B"/>
    <w:rsid w:val="0023374F"/>
    <w:rsid w:val="00236CFF"/>
    <w:rsid w:val="0023758B"/>
    <w:rsid w:val="00237D9A"/>
    <w:rsid w:val="0024006F"/>
    <w:rsid w:val="00245CDE"/>
    <w:rsid w:val="00247CF0"/>
    <w:rsid w:val="00250A74"/>
    <w:rsid w:val="0025172F"/>
    <w:rsid w:val="00252D3D"/>
    <w:rsid w:val="002550C3"/>
    <w:rsid w:val="00255542"/>
    <w:rsid w:val="00256928"/>
    <w:rsid w:val="00256E00"/>
    <w:rsid w:val="00257EB8"/>
    <w:rsid w:val="00260565"/>
    <w:rsid w:val="00261243"/>
    <w:rsid w:val="00261E29"/>
    <w:rsid w:val="00262256"/>
    <w:rsid w:val="00263FB0"/>
    <w:rsid w:val="00265802"/>
    <w:rsid w:val="00266079"/>
    <w:rsid w:val="002664C7"/>
    <w:rsid w:val="00272255"/>
    <w:rsid w:val="00273EE3"/>
    <w:rsid w:val="0027497E"/>
    <w:rsid w:val="00274EA6"/>
    <w:rsid w:val="0027626F"/>
    <w:rsid w:val="00285F5C"/>
    <w:rsid w:val="00286126"/>
    <w:rsid w:val="00286E87"/>
    <w:rsid w:val="002871B1"/>
    <w:rsid w:val="002871F1"/>
    <w:rsid w:val="002873F6"/>
    <w:rsid w:val="00290BE0"/>
    <w:rsid w:val="00292419"/>
    <w:rsid w:val="00292BE1"/>
    <w:rsid w:val="0029440C"/>
    <w:rsid w:val="00295991"/>
    <w:rsid w:val="00295E09"/>
    <w:rsid w:val="00295E54"/>
    <w:rsid w:val="002966FD"/>
    <w:rsid w:val="002A2E87"/>
    <w:rsid w:val="002A498F"/>
    <w:rsid w:val="002A76C0"/>
    <w:rsid w:val="002B02B1"/>
    <w:rsid w:val="002B09CA"/>
    <w:rsid w:val="002C1AD3"/>
    <w:rsid w:val="002C5B50"/>
    <w:rsid w:val="002C5EF4"/>
    <w:rsid w:val="002C6399"/>
    <w:rsid w:val="002C6D45"/>
    <w:rsid w:val="002D3157"/>
    <w:rsid w:val="002D3AAE"/>
    <w:rsid w:val="002D56BA"/>
    <w:rsid w:val="002E090B"/>
    <w:rsid w:val="002E2FD3"/>
    <w:rsid w:val="002E3354"/>
    <w:rsid w:val="002E5A94"/>
    <w:rsid w:val="002E6906"/>
    <w:rsid w:val="002E6A8A"/>
    <w:rsid w:val="002F0E25"/>
    <w:rsid w:val="002F3BE1"/>
    <w:rsid w:val="002F4221"/>
    <w:rsid w:val="002F6530"/>
    <w:rsid w:val="0030000A"/>
    <w:rsid w:val="003016B2"/>
    <w:rsid w:val="00301B1C"/>
    <w:rsid w:val="0030219E"/>
    <w:rsid w:val="0030489C"/>
    <w:rsid w:val="003102FE"/>
    <w:rsid w:val="003140B7"/>
    <w:rsid w:val="0031755E"/>
    <w:rsid w:val="00320A85"/>
    <w:rsid w:val="003241F5"/>
    <w:rsid w:val="00325BF8"/>
    <w:rsid w:val="00332CCE"/>
    <w:rsid w:val="0033488A"/>
    <w:rsid w:val="00334A14"/>
    <w:rsid w:val="0033773E"/>
    <w:rsid w:val="00342C3F"/>
    <w:rsid w:val="00347455"/>
    <w:rsid w:val="00352797"/>
    <w:rsid w:val="00353C33"/>
    <w:rsid w:val="00354331"/>
    <w:rsid w:val="0035773B"/>
    <w:rsid w:val="00357E60"/>
    <w:rsid w:val="0036041C"/>
    <w:rsid w:val="003639F6"/>
    <w:rsid w:val="00363E3D"/>
    <w:rsid w:val="0036627B"/>
    <w:rsid w:val="003667C8"/>
    <w:rsid w:val="00372DAA"/>
    <w:rsid w:val="0037440A"/>
    <w:rsid w:val="00375688"/>
    <w:rsid w:val="00376347"/>
    <w:rsid w:val="00376AFD"/>
    <w:rsid w:val="00384162"/>
    <w:rsid w:val="00385DB5"/>
    <w:rsid w:val="003860E0"/>
    <w:rsid w:val="0039212B"/>
    <w:rsid w:val="00397E92"/>
    <w:rsid w:val="003A161D"/>
    <w:rsid w:val="003A35E5"/>
    <w:rsid w:val="003A3852"/>
    <w:rsid w:val="003B6FFD"/>
    <w:rsid w:val="003C1012"/>
    <w:rsid w:val="003C2824"/>
    <w:rsid w:val="003C3F08"/>
    <w:rsid w:val="003C4088"/>
    <w:rsid w:val="003C469F"/>
    <w:rsid w:val="003C4B66"/>
    <w:rsid w:val="003C5009"/>
    <w:rsid w:val="003C60BF"/>
    <w:rsid w:val="003C7B7B"/>
    <w:rsid w:val="003D2F52"/>
    <w:rsid w:val="003D64F4"/>
    <w:rsid w:val="003E0430"/>
    <w:rsid w:val="003E26EC"/>
    <w:rsid w:val="003E3C5D"/>
    <w:rsid w:val="003E483A"/>
    <w:rsid w:val="003E76BC"/>
    <w:rsid w:val="003E7B65"/>
    <w:rsid w:val="003F0897"/>
    <w:rsid w:val="003F22BB"/>
    <w:rsid w:val="003F3D00"/>
    <w:rsid w:val="003F4D05"/>
    <w:rsid w:val="003F4EC9"/>
    <w:rsid w:val="00401DF1"/>
    <w:rsid w:val="0040610B"/>
    <w:rsid w:val="00406D56"/>
    <w:rsid w:val="00413B8D"/>
    <w:rsid w:val="00415BAD"/>
    <w:rsid w:val="00416FBC"/>
    <w:rsid w:val="0042147B"/>
    <w:rsid w:val="004223AE"/>
    <w:rsid w:val="004229D7"/>
    <w:rsid w:val="00426765"/>
    <w:rsid w:val="00431280"/>
    <w:rsid w:val="00432E15"/>
    <w:rsid w:val="00434196"/>
    <w:rsid w:val="00434BA0"/>
    <w:rsid w:val="00436E05"/>
    <w:rsid w:val="0044284D"/>
    <w:rsid w:val="0044604F"/>
    <w:rsid w:val="00446CFB"/>
    <w:rsid w:val="00453BC0"/>
    <w:rsid w:val="0045458E"/>
    <w:rsid w:val="0045471A"/>
    <w:rsid w:val="00454A27"/>
    <w:rsid w:val="0045517D"/>
    <w:rsid w:val="004556B5"/>
    <w:rsid w:val="004564E3"/>
    <w:rsid w:val="00456715"/>
    <w:rsid w:val="00460E5B"/>
    <w:rsid w:val="004612B4"/>
    <w:rsid w:val="00466003"/>
    <w:rsid w:val="00481273"/>
    <w:rsid w:val="00482ADB"/>
    <w:rsid w:val="004924B9"/>
    <w:rsid w:val="00494393"/>
    <w:rsid w:val="004A02E1"/>
    <w:rsid w:val="004A2A27"/>
    <w:rsid w:val="004A46EB"/>
    <w:rsid w:val="004A589F"/>
    <w:rsid w:val="004A7F05"/>
    <w:rsid w:val="004B0329"/>
    <w:rsid w:val="004B22C8"/>
    <w:rsid w:val="004B30FF"/>
    <w:rsid w:val="004B4C64"/>
    <w:rsid w:val="004B5111"/>
    <w:rsid w:val="004C22A2"/>
    <w:rsid w:val="004C3397"/>
    <w:rsid w:val="004C3A82"/>
    <w:rsid w:val="004C69DE"/>
    <w:rsid w:val="004C7916"/>
    <w:rsid w:val="004D01EF"/>
    <w:rsid w:val="004D0C4F"/>
    <w:rsid w:val="004D4EDE"/>
    <w:rsid w:val="004D7462"/>
    <w:rsid w:val="004D7987"/>
    <w:rsid w:val="004E148A"/>
    <w:rsid w:val="004E238D"/>
    <w:rsid w:val="004E432A"/>
    <w:rsid w:val="004E4667"/>
    <w:rsid w:val="004E605E"/>
    <w:rsid w:val="004E79E5"/>
    <w:rsid w:val="005016DF"/>
    <w:rsid w:val="0050343E"/>
    <w:rsid w:val="00513AFD"/>
    <w:rsid w:val="00514127"/>
    <w:rsid w:val="00514486"/>
    <w:rsid w:val="0051692E"/>
    <w:rsid w:val="00517C2A"/>
    <w:rsid w:val="005200C2"/>
    <w:rsid w:val="0052551C"/>
    <w:rsid w:val="00526738"/>
    <w:rsid w:val="00530954"/>
    <w:rsid w:val="00531C9A"/>
    <w:rsid w:val="00531E3F"/>
    <w:rsid w:val="00533667"/>
    <w:rsid w:val="0053491B"/>
    <w:rsid w:val="005357B7"/>
    <w:rsid w:val="005364AB"/>
    <w:rsid w:val="00537EFC"/>
    <w:rsid w:val="005519E2"/>
    <w:rsid w:val="005537A5"/>
    <w:rsid w:val="00555A64"/>
    <w:rsid w:val="00557C0E"/>
    <w:rsid w:val="005602A8"/>
    <w:rsid w:val="005608D2"/>
    <w:rsid w:val="00564380"/>
    <w:rsid w:val="00564F61"/>
    <w:rsid w:val="00567728"/>
    <w:rsid w:val="005678B1"/>
    <w:rsid w:val="00570FAE"/>
    <w:rsid w:val="00571AFE"/>
    <w:rsid w:val="00573371"/>
    <w:rsid w:val="005745A8"/>
    <w:rsid w:val="005761E4"/>
    <w:rsid w:val="005764D7"/>
    <w:rsid w:val="005772BF"/>
    <w:rsid w:val="0058147B"/>
    <w:rsid w:val="00582676"/>
    <w:rsid w:val="005911C3"/>
    <w:rsid w:val="00591860"/>
    <w:rsid w:val="00593AA9"/>
    <w:rsid w:val="0059704F"/>
    <w:rsid w:val="005A1F76"/>
    <w:rsid w:val="005A33AB"/>
    <w:rsid w:val="005B0F68"/>
    <w:rsid w:val="005B1168"/>
    <w:rsid w:val="005B4D15"/>
    <w:rsid w:val="005B5011"/>
    <w:rsid w:val="005B62F8"/>
    <w:rsid w:val="005B66CB"/>
    <w:rsid w:val="005B686E"/>
    <w:rsid w:val="005C0450"/>
    <w:rsid w:val="005C3EF6"/>
    <w:rsid w:val="005C51DE"/>
    <w:rsid w:val="005C539D"/>
    <w:rsid w:val="005D273D"/>
    <w:rsid w:val="005D3F66"/>
    <w:rsid w:val="005D4095"/>
    <w:rsid w:val="005D52B9"/>
    <w:rsid w:val="005D79F7"/>
    <w:rsid w:val="005F0024"/>
    <w:rsid w:val="005F2EBC"/>
    <w:rsid w:val="005F3A4F"/>
    <w:rsid w:val="005F57E7"/>
    <w:rsid w:val="005F63C7"/>
    <w:rsid w:val="00600302"/>
    <w:rsid w:val="0060061D"/>
    <w:rsid w:val="00602314"/>
    <w:rsid w:val="006048A7"/>
    <w:rsid w:val="00605E25"/>
    <w:rsid w:val="006127BB"/>
    <w:rsid w:val="00614770"/>
    <w:rsid w:val="00614C84"/>
    <w:rsid w:val="00614CC7"/>
    <w:rsid w:val="00614F3F"/>
    <w:rsid w:val="00615A37"/>
    <w:rsid w:val="00615E12"/>
    <w:rsid w:val="006170C9"/>
    <w:rsid w:val="0061755B"/>
    <w:rsid w:val="00620167"/>
    <w:rsid w:val="0062060D"/>
    <w:rsid w:val="006226F0"/>
    <w:rsid w:val="006300D3"/>
    <w:rsid w:val="006309CD"/>
    <w:rsid w:val="00630B14"/>
    <w:rsid w:val="00631218"/>
    <w:rsid w:val="0063175E"/>
    <w:rsid w:val="006362F5"/>
    <w:rsid w:val="00636A11"/>
    <w:rsid w:val="00637BEB"/>
    <w:rsid w:val="0064339E"/>
    <w:rsid w:val="00646A00"/>
    <w:rsid w:val="0065265B"/>
    <w:rsid w:val="00654C75"/>
    <w:rsid w:val="00654DA9"/>
    <w:rsid w:val="00660911"/>
    <w:rsid w:val="00662075"/>
    <w:rsid w:val="006626DB"/>
    <w:rsid w:val="00662A34"/>
    <w:rsid w:val="0066469B"/>
    <w:rsid w:val="00664865"/>
    <w:rsid w:val="00665BB8"/>
    <w:rsid w:val="00665D20"/>
    <w:rsid w:val="00666106"/>
    <w:rsid w:val="006670E7"/>
    <w:rsid w:val="00673800"/>
    <w:rsid w:val="006747B8"/>
    <w:rsid w:val="006762BA"/>
    <w:rsid w:val="006804EA"/>
    <w:rsid w:val="00684899"/>
    <w:rsid w:val="00685ACF"/>
    <w:rsid w:val="00687F36"/>
    <w:rsid w:val="00690E00"/>
    <w:rsid w:val="006922DB"/>
    <w:rsid w:val="00694E4F"/>
    <w:rsid w:val="006A1412"/>
    <w:rsid w:val="006A4C7F"/>
    <w:rsid w:val="006A4CFF"/>
    <w:rsid w:val="006B2338"/>
    <w:rsid w:val="006C7B39"/>
    <w:rsid w:val="006C7D14"/>
    <w:rsid w:val="006D029D"/>
    <w:rsid w:val="006D0B05"/>
    <w:rsid w:val="006D2E34"/>
    <w:rsid w:val="006D46E4"/>
    <w:rsid w:val="006D67E0"/>
    <w:rsid w:val="006D7E1C"/>
    <w:rsid w:val="006E0104"/>
    <w:rsid w:val="006E1C7F"/>
    <w:rsid w:val="006E1F29"/>
    <w:rsid w:val="006E4315"/>
    <w:rsid w:val="006E62B6"/>
    <w:rsid w:val="006F1965"/>
    <w:rsid w:val="006F325C"/>
    <w:rsid w:val="006F46DB"/>
    <w:rsid w:val="006F53A2"/>
    <w:rsid w:val="006F59B3"/>
    <w:rsid w:val="007045C1"/>
    <w:rsid w:val="00704F9F"/>
    <w:rsid w:val="00706376"/>
    <w:rsid w:val="00707CAF"/>
    <w:rsid w:val="00711B43"/>
    <w:rsid w:val="00713336"/>
    <w:rsid w:val="007153F6"/>
    <w:rsid w:val="00716970"/>
    <w:rsid w:val="007219C0"/>
    <w:rsid w:val="00722CE7"/>
    <w:rsid w:val="00725043"/>
    <w:rsid w:val="007266DE"/>
    <w:rsid w:val="00727823"/>
    <w:rsid w:val="00727CD6"/>
    <w:rsid w:val="00732571"/>
    <w:rsid w:val="00732B6D"/>
    <w:rsid w:val="0073346F"/>
    <w:rsid w:val="007369E7"/>
    <w:rsid w:val="00743CB8"/>
    <w:rsid w:val="00752A97"/>
    <w:rsid w:val="00757B36"/>
    <w:rsid w:val="00767570"/>
    <w:rsid w:val="00772A6A"/>
    <w:rsid w:val="00777D50"/>
    <w:rsid w:val="0078117A"/>
    <w:rsid w:val="00781782"/>
    <w:rsid w:val="00782D89"/>
    <w:rsid w:val="00784FE2"/>
    <w:rsid w:val="0078767F"/>
    <w:rsid w:val="00790E30"/>
    <w:rsid w:val="00792AF3"/>
    <w:rsid w:val="007A020F"/>
    <w:rsid w:val="007A21E1"/>
    <w:rsid w:val="007A5AC8"/>
    <w:rsid w:val="007B2F2F"/>
    <w:rsid w:val="007B7868"/>
    <w:rsid w:val="007C0C5E"/>
    <w:rsid w:val="007C0FCD"/>
    <w:rsid w:val="007C2F47"/>
    <w:rsid w:val="007C6A03"/>
    <w:rsid w:val="007C6E2B"/>
    <w:rsid w:val="007D0A66"/>
    <w:rsid w:val="007D400B"/>
    <w:rsid w:val="007E05B0"/>
    <w:rsid w:val="007E0AA5"/>
    <w:rsid w:val="007E268A"/>
    <w:rsid w:val="007E35FC"/>
    <w:rsid w:val="007E7AA6"/>
    <w:rsid w:val="007F11B3"/>
    <w:rsid w:val="007F1A8F"/>
    <w:rsid w:val="007F3866"/>
    <w:rsid w:val="007F3B01"/>
    <w:rsid w:val="007F4370"/>
    <w:rsid w:val="00807EE3"/>
    <w:rsid w:val="00812248"/>
    <w:rsid w:val="00812BC6"/>
    <w:rsid w:val="008150B1"/>
    <w:rsid w:val="00821191"/>
    <w:rsid w:val="0082353B"/>
    <w:rsid w:val="0082503D"/>
    <w:rsid w:val="008260C0"/>
    <w:rsid w:val="00826C59"/>
    <w:rsid w:val="00830423"/>
    <w:rsid w:val="00831916"/>
    <w:rsid w:val="008369A5"/>
    <w:rsid w:val="008372A2"/>
    <w:rsid w:val="0083778C"/>
    <w:rsid w:val="0084203B"/>
    <w:rsid w:val="00842CDD"/>
    <w:rsid w:val="0084340D"/>
    <w:rsid w:val="00844D38"/>
    <w:rsid w:val="008466FD"/>
    <w:rsid w:val="00847FF9"/>
    <w:rsid w:val="008528D5"/>
    <w:rsid w:val="008552A2"/>
    <w:rsid w:val="00855504"/>
    <w:rsid w:val="00855A32"/>
    <w:rsid w:val="00856DCE"/>
    <w:rsid w:val="00861288"/>
    <w:rsid w:val="008626FB"/>
    <w:rsid w:val="00863C2B"/>
    <w:rsid w:val="0086609D"/>
    <w:rsid w:val="008719C7"/>
    <w:rsid w:val="0087565D"/>
    <w:rsid w:val="00877C6D"/>
    <w:rsid w:val="00877E25"/>
    <w:rsid w:val="0088193B"/>
    <w:rsid w:val="00886002"/>
    <w:rsid w:val="0088701B"/>
    <w:rsid w:val="00887318"/>
    <w:rsid w:val="00895F30"/>
    <w:rsid w:val="008963A6"/>
    <w:rsid w:val="008A35E6"/>
    <w:rsid w:val="008A3FB4"/>
    <w:rsid w:val="008A4FF3"/>
    <w:rsid w:val="008A6EBE"/>
    <w:rsid w:val="008A7CFF"/>
    <w:rsid w:val="008B118A"/>
    <w:rsid w:val="008B33D3"/>
    <w:rsid w:val="008B77C1"/>
    <w:rsid w:val="008C03F9"/>
    <w:rsid w:val="008C0940"/>
    <w:rsid w:val="008C617C"/>
    <w:rsid w:val="008C6562"/>
    <w:rsid w:val="008D0EAD"/>
    <w:rsid w:val="008D3EB8"/>
    <w:rsid w:val="008D42BB"/>
    <w:rsid w:val="008D4665"/>
    <w:rsid w:val="008D522D"/>
    <w:rsid w:val="008D5578"/>
    <w:rsid w:val="008D58F9"/>
    <w:rsid w:val="008D79C6"/>
    <w:rsid w:val="008E2A71"/>
    <w:rsid w:val="008E477A"/>
    <w:rsid w:val="008E5C5E"/>
    <w:rsid w:val="008F040B"/>
    <w:rsid w:val="008F367D"/>
    <w:rsid w:val="008F6559"/>
    <w:rsid w:val="008F75C7"/>
    <w:rsid w:val="008F7682"/>
    <w:rsid w:val="0090259A"/>
    <w:rsid w:val="00902C94"/>
    <w:rsid w:val="009047BF"/>
    <w:rsid w:val="00907252"/>
    <w:rsid w:val="00910542"/>
    <w:rsid w:val="009117FA"/>
    <w:rsid w:val="00911B57"/>
    <w:rsid w:val="00912E78"/>
    <w:rsid w:val="00922AE4"/>
    <w:rsid w:val="00922B8F"/>
    <w:rsid w:val="00926390"/>
    <w:rsid w:val="00927107"/>
    <w:rsid w:val="009279BC"/>
    <w:rsid w:val="00931AFC"/>
    <w:rsid w:val="00931FDF"/>
    <w:rsid w:val="00932F41"/>
    <w:rsid w:val="00937CFE"/>
    <w:rsid w:val="00943C35"/>
    <w:rsid w:val="00945CB4"/>
    <w:rsid w:val="00947DFD"/>
    <w:rsid w:val="00955D30"/>
    <w:rsid w:val="00960AF2"/>
    <w:rsid w:val="00962B24"/>
    <w:rsid w:val="00962C0A"/>
    <w:rsid w:val="00963267"/>
    <w:rsid w:val="00963D48"/>
    <w:rsid w:val="00964A8C"/>
    <w:rsid w:val="00964BAB"/>
    <w:rsid w:val="0096536F"/>
    <w:rsid w:val="00966093"/>
    <w:rsid w:val="009756B9"/>
    <w:rsid w:val="00976049"/>
    <w:rsid w:val="00980D53"/>
    <w:rsid w:val="00983551"/>
    <w:rsid w:val="00985FA7"/>
    <w:rsid w:val="00987450"/>
    <w:rsid w:val="00993A7A"/>
    <w:rsid w:val="00997AA2"/>
    <w:rsid w:val="009A0A65"/>
    <w:rsid w:val="009A1A54"/>
    <w:rsid w:val="009A58F0"/>
    <w:rsid w:val="009B016D"/>
    <w:rsid w:val="009B15B4"/>
    <w:rsid w:val="009B1DF3"/>
    <w:rsid w:val="009B3A28"/>
    <w:rsid w:val="009B5A38"/>
    <w:rsid w:val="009B6B22"/>
    <w:rsid w:val="009C3DDD"/>
    <w:rsid w:val="009C5610"/>
    <w:rsid w:val="009C740C"/>
    <w:rsid w:val="009D0970"/>
    <w:rsid w:val="009D4480"/>
    <w:rsid w:val="009D46D7"/>
    <w:rsid w:val="009D7F08"/>
    <w:rsid w:val="009E15E5"/>
    <w:rsid w:val="009E62AB"/>
    <w:rsid w:val="009E7173"/>
    <w:rsid w:val="009F0CF0"/>
    <w:rsid w:val="009F38DB"/>
    <w:rsid w:val="009F491D"/>
    <w:rsid w:val="009F5363"/>
    <w:rsid w:val="009F7A9C"/>
    <w:rsid w:val="009F7E09"/>
    <w:rsid w:val="00A005E0"/>
    <w:rsid w:val="00A014F9"/>
    <w:rsid w:val="00A05859"/>
    <w:rsid w:val="00A06353"/>
    <w:rsid w:val="00A13B64"/>
    <w:rsid w:val="00A16B95"/>
    <w:rsid w:val="00A172AF"/>
    <w:rsid w:val="00A240BE"/>
    <w:rsid w:val="00A310ED"/>
    <w:rsid w:val="00A32D21"/>
    <w:rsid w:val="00A36819"/>
    <w:rsid w:val="00A377C1"/>
    <w:rsid w:val="00A41767"/>
    <w:rsid w:val="00A42FDF"/>
    <w:rsid w:val="00A465FD"/>
    <w:rsid w:val="00A51EA2"/>
    <w:rsid w:val="00A5351B"/>
    <w:rsid w:val="00A57E89"/>
    <w:rsid w:val="00A60B47"/>
    <w:rsid w:val="00A60DBE"/>
    <w:rsid w:val="00A62385"/>
    <w:rsid w:val="00A664B8"/>
    <w:rsid w:val="00A66FCC"/>
    <w:rsid w:val="00A675E1"/>
    <w:rsid w:val="00A73AA2"/>
    <w:rsid w:val="00A83F97"/>
    <w:rsid w:val="00A866ED"/>
    <w:rsid w:val="00A9112F"/>
    <w:rsid w:val="00A9126A"/>
    <w:rsid w:val="00A91840"/>
    <w:rsid w:val="00A92715"/>
    <w:rsid w:val="00A92928"/>
    <w:rsid w:val="00A93927"/>
    <w:rsid w:val="00A95569"/>
    <w:rsid w:val="00A9729B"/>
    <w:rsid w:val="00A975EE"/>
    <w:rsid w:val="00AA3616"/>
    <w:rsid w:val="00AA7D17"/>
    <w:rsid w:val="00AB1770"/>
    <w:rsid w:val="00AB297F"/>
    <w:rsid w:val="00AB4914"/>
    <w:rsid w:val="00AB7BD2"/>
    <w:rsid w:val="00AC07A8"/>
    <w:rsid w:val="00AC0EEE"/>
    <w:rsid w:val="00AC29C1"/>
    <w:rsid w:val="00AC4ED3"/>
    <w:rsid w:val="00AC58EF"/>
    <w:rsid w:val="00AD514E"/>
    <w:rsid w:val="00AD669D"/>
    <w:rsid w:val="00AD7F40"/>
    <w:rsid w:val="00AE19C6"/>
    <w:rsid w:val="00AE2A82"/>
    <w:rsid w:val="00AF0FA2"/>
    <w:rsid w:val="00AF2278"/>
    <w:rsid w:val="00AF2B6B"/>
    <w:rsid w:val="00AF3181"/>
    <w:rsid w:val="00AF3390"/>
    <w:rsid w:val="00AF3981"/>
    <w:rsid w:val="00AF4950"/>
    <w:rsid w:val="00AF5292"/>
    <w:rsid w:val="00AF671C"/>
    <w:rsid w:val="00B01851"/>
    <w:rsid w:val="00B0219E"/>
    <w:rsid w:val="00B05AE2"/>
    <w:rsid w:val="00B061CE"/>
    <w:rsid w:val="00B063B1"/>
    <w:rsid w:val="00B0789F"/>
    <w:rsid w:val="00B11839"/>
    <w:rsid w:val="00B13B84"/>
    <w:rsid w:val="00B14594"/>
    <w:rsid w:val="00B22CD4"/>
    <w:rsid w:val="00B24CE1"/>
    <w:rsid w:val="00B27D4E"/>
    <w:rsid w:val="00B27FDB"/>
    <w:rsid w:val="00B31A64"/>
    <w:rsid w:val="00B36CE4"/>
    <w:rsid w:val="00B400D8"/>
    <w:rsid w:val="00B40200"/>
    <w:rsid w:val="00B406C1"/>
    <w:rsid w:val="00B44C51"/>
    <w:rsid w:val="00B47E0B"/>
    <w:rsid w:val="00B513E5"/>
    <w:rsid w:val="00B517D5"/>
    <w:rsid w:val="00B5741B"/>
    <w:rsid w:val="00B5763E"/>
    <w:rsid w:val="00B57DBA"/>
    <w:rsid w:val="00B602BE"/>
    <w:rsid w:val="00B625BA"/>
    <w:rsid w:val="00B63576"/>
    <w:rsid w:val="00B638F3"/>
    <w:rsid w:val="00B64AAD"/>
    <w:rsid w:val="00B64C64"/>
    <w:rsid w:val="00B75D91"/>
    <w:rsid w:val="00B76492"/>
    <w:rsid w:val="00B77B81"/>
    <w:rsid w:val="00B80411"/>
    <w:rsid w:val="00B81DB9"/>
    <w:rsid w:val="00B820C7"/>
    <w:rsid w:val="00B877BC"/>
    <w:rsid w:val="00B90F3D"/>
    <w:rsid w:val="00B9181B"/>
    <w:rsid w:val="00B96648"/>
    <w:rsid w:val="00B97607"/>
    <w:rsid w:val="00B97E39"/>
    <w:rsid w:val="00BA0DBC"/>
    <w:rsid w:val="00BA2A8F"/>
    <w:rsid w:val="00BA3868"/>
    <w:rsid w:val="00BA388C"/>
    <w:rsid w:val="00BA6033"/>
    <w:rsid w:val="00BB1BD6"/>
    <w:rsid w:val="00BB5257"/>
    <w:rsid w:val="00BB6BB9"/>
    <w:rsid w:val="00BB7072"/>
    <w:rsid w:val="00BB7362"/>
    <w:rsid w:val="00BB7C04"/>
    <w:rsid w:val="00BC10EC"/>
    <w:rsid w:val="00BC2214"/>
    <w:rsid w:val="00BC67EF"/>
    <w:rsid w:val="00BC74F6"/>
    <w:rsid w:val="00BD2E33"/>
    <w:rsid w:val="00BD367A"/>
    <w:rsid w:val="00BD4E8D"/>
    <w:rsid w:val="00BD6C1A"/>
    <w:rsid w:val="00BE307A"/>
    <w:rsid w:val="00BE4392"/>
    <w:rsid w:val="00BE7E98"/>
    <w:rsid w:val="00BF261B"/>
    <w:rsid w:val="00BF4D22"/>
    <w:rsid w:val="00BF563E"/>
    <w:rsid w:val="00BF576F"/>
    <w:rsid w:val="00BF76E0"/>
    <w:rsid w:val="00C0067F"/>
    <w:rsid w:val="00C02A83"/>
    <w:rsid w:val="00C04410"/>
    <w:rsid w:val="00C045B4"/>
    <w:rsid w:val="00C07E2C"/>
    <w:rsid w:val="00C15A04"/>
    <w:rsid w:val="00C20DED"/>
    <w:rsid w:val="00C31BEA"/>
    <w:rsid w:val="00C31D17"/>
    <w:rsid w:val="00C36686"/>
    <w:rsid w:val="00C40750"/>
    <w:rsid w:val="00C43BF9"/>
    <w:rsid w:val="00C44C2D"/>
    <w:rsid w:val="00C52C3F"/>
    <w:rsid w:val="00C60CE9"/>
    <w:rsid w:val="00C61F74"/>
    <w:rsid w:val="00C65E59"/>
    <w:rsid w:val="00C6744A"/>
    <w:rsid w:val="00C6758B"/>
    <w:rsid w:val="00C67A3C"/>
    <w:rsid w:val="00C72F21"/>
    <w:rsid w:val="00C733B6"/>
    <w:rsid w:val="00C7426F"/>
    <w:rsid w:val="00C816B0"/>
    <w:rsid w:val="00C83A37"/>
    <w:rsid w:val="00C861E0"/>
    <w:rsid w:val="00C86522"/>
    <w:rsid w:val="00C87A44"/>
    <w:rsid w:val="00C90430"/>
    <w:rsid w:val="00C90974"/>
    <w:rsid w:val="00C91820"/>
    <w:rsid w:val="00C93459"/>
    <w:rsid w:val="00C937CE"/>
    <w:rsid w:val="00C95F83"/>
    <w:rsid w:val="00CA4EAD"/>
    <w:rsid w:val="00CA5744"/>
    <w:rsid w:val="00CA5D65"/>
    <w:rsid w:val="00CA777A"/>
    <w:rsid w:val="00CB2871"/>
    <w:rsid w:val="00CB321A"/>
    <w:rsid w:val="00CC1772"/>
    <w:rsid w:val="00CC53FE"/>
    <w:rsid w:val="00CC6414"/>
    <w:rsid w:val="00CD02CC"/>
    <w:rsid w:val="00CD0B8A"/>
    <w:rsid w:val="00CD2733"/>
    <w:rsid w:val="00CE05B3"/>
    <w:rsid w:val="00CE19D1"/>
    <w:rsid w:val="00CE29B6"/>
    <w:rsid w:val="00CE3DDB"/>
    <w:rsid w:val="00CE5DC9"/>
    <w:rsid w:val="00CF282B"/>
    <w:rsid w:val="00CF7C12"/>
    <w:rsid w:val="00D006A4"/>
    <w:rsid w:val="00D0506E"/>
    <w:rsid w:val="00D060F3"/>
    <w:rsid w:val="00D07DB3"/>
    <w:rsid w:val="00D12514"/>
    <w:rsid w:val="00D1506D"/>
    <w:rsid w:val="00D16E9E"/>
    <w:rsid w:val="00D203E1"/>
    <w:rsid w:val="00D23DCF"/>
    <w:rsid w:val="00D30BCC"/>
    <w:rsid w:val="00D31E3D"/>
    <w:rsid w:val="00D34909"/>
    <w:rsid w:val="00D34D20"/>
    <w:rsid w:val="00D36759"/>
    <w:rsid w:val="00D367F0"/>
    <w:rsid w:val="00D41457"/>
    <w:rsid w:val="00D4431E"/>
    <w:rsid w:val="00D44E57"/>
    <w:rsid w:val="00D47686"/>
    <w:rsid w:val="00D50455"/>
    <w:rsid w:val="00D516FE"/>
    <w:rsid w:val="00D545DB"/>
    <w:rsid w:val="00D57592"/>
    <w:rsid w:val="00D61C29"/>
    <w:rsid w:val="00D62AE0"/>
    <w:rsid w:val="00D63D14"/>
    <w:rsid w:val="00D64B82"/>
    <w:rsid w:val="00D66FB7"/>
    <w:rsid w:val="00D6727D"/>
    <w:rsid w:val="00D702FD"/>
    <w:rsid w:val="00D808B4"/>
    <w:rsid w:val="00D81494"/>
    <w:rsid w:val="00D82C3F"/>
    <w:rsid w:val="00D854B3"/>
    <w:rsid w:val="00D856BC"/>
    <w:rsid w:val="00D86046"/>
    <w:rsid w:val="00D86412"/>
    <w:rsid w:val="00D913FB"/>
    <w:rsid w:val="00D9253B"/>
    <w:rsid w:val="00D9358B"/>
    <w:rsid w:val="00D950ED"/>
    <w:rsid w:val="00D97FD5"/>
    <w:rsid w:val="00DA248F"/>
    <w:rsid w:val="00DA39D0"/>
    <w:rsid w:val="00DA4087"/>
    <w:rsid w:val="00DA5C31"/>
    <w:rsid w:val="00DA64EF"/>
    <w:rsid w:val="00DA651E"/>
    <w:rsid w:val="00DB0D73"/>
    <w:rsid w:val="00DB0EF2"/>
    <w:rsid w:val="00DB108F"/>
    <w:rsid w:val="00DB1D66"/>
    <w:rsid w:val="00DB3117"/>
    <w:rsid w:val="00DB4D9C"/>
    <w:rsid w:val="00DB6388"/>
    <w:rsid w:val="00DB744F"/>
    <w:rsid w:val="00DC0069"/>
    <w:rsid w:val="00DC4B0B"/>
    <w:rsid w:val="00DC4EE2"/>
    <w:rsid w:val="00DD05E3"/>
    <w:rsid w:val="00DD3D9B"/>
    <w:rsid w:val="00DD6A11"/>
    <w:rsid w:val="00DE1B02"/>
    <w:rsid w:val="00DE6434"/>
    <w:rsid w:val="00DF18E6"/>
    <w:rsid w:val="00DF21B5"/>
    <w:rsid w:val="00DF3F83"/>
    <w:rsid w:val="00DF4114"/>
    <w:rsid w:val="00DF6A27"/>
    <w:rsid w:val="00DF75F7"/>
    <w:rsid w:val="00DF7D81"/>
    <w:rsid w:val="00DF7F99"/>
    <w:rsid w:val="00E064B8"/>
    <w:rsid w:val="00E06ADE"/>
    <w:rsid w:val="00E07F1B"/>
    <w:rsid w:val="00E17BA2"/>
    <w:rsid w:val="00E33B31"/>
    <w:rsid w:val="00E33CFA"/>
    <w:rsid w:val="00E35B06"/>
    <w:rsid w:val="00E369DA"/>
    <w:rsid w:val="00E4028F"/>
    <w:rsid w:val="00E40D0C"/>
    <w:rsid w:val="00E434DD"/>
    <w:rsid w:val="00E44665"/>
    <w:rsid w:val="00E4727C"/>
    <w:rsid w:val="00E50985"/>
    <w:rsid w:val="00E53903"/>
    <w:rsid w:val="00E54FFD"/>
    <w:rsid w:val="00E579CD"/>
    <w:rsid w:val="00E64D3A"/>
    <w:rsid w:val="00E67089"/>
    <w:rsid w:val="00E72553"/>
    <w:rsid w:val="00E76188"/>
    <w:rsid w:val="00E77636"/>
    <w:rsid w:val="00E77C5A"/>
    <w:rsid w:val="00E84321"/>
    <w:rsid w:val="00E847B7"/>
    <w:rsid w:val="00E85C24"/>
    <w:rsid w:val="00E87892"/>
    <w:rsid w:val="00E91CEA"/>
    <w:rsid w:val="00E950D3"/>
    <w:rsid w:val="00E95A00"/>
    <w:rsid w:val="00EA5F7B"/>
    <w:rsid w:val="00EB278A"/>
    <w:rsid w:val="00EB3F6B"/>
    <w:rsid w:val="00EB480D"/>
    <w:rsid w:val="00EB5327"/>
    <w:rsid w:val="00EC0CD5"/>
    <w:rsid w:val="00EC2290"/>
    <w:rsid w:val="00EC4FD7"/>
    <w:rsid w:val="00EC51C7"/>
    <w:rsid w:val="00EC7985"/>
    <w:rsid w:val="00ED0253"/>
    <w:rsid w:val="00ED448E"/>
    <w:rsid w:val="00ED48F2"/>
    <w:rsid w:val="00ED4E1B"/>
    <w:rsid w:val="00ED5019"/>
    <w:rsid w:val="00ED51DE"/>
    <w:rsid w:val="00ED6B7A"/>
    <w:rsid w:val="00EE0250"/>
    <w:rsid w:val="00EE054F"/>
    <w:rsid w:val="00EE170D"/>
    <w:rsid w:val="00EE2AE6"/>
    <w:rsid w:val="00EE4849"/>
    <w:rsid w:val="00EF025C"/>
    <w:rsid w:val="00EF229B"/>
    <w:rsid w:val="00EF35DC"/>
    <w:rsid w:val="00EF5A0D"/>
    <w:rsid w:val="00F0151C"/>
    <w:rsid w:val="00F03CD3"/>
    <w:rsid w:val="00F03E08"/>
    <w:rsid w:val="00F04CC0"/>
    <w:rsid w:val="00F050F9"/>
    <w:rsid w:val="00F11ED9"/>
    <w:rsid w:val="00F13EBA"/>
    <w:rsid w:val="00F1482E"/>
    <w:rsid w:val="00F21ABF"/>
    <w:rsid w:val="00F21EC4"/>
    <w:rsid w:val="00F21ECB"/>
    <w:rsid w:val="00F229EA"/>
    <w:rsid w:val="00F2403D"/>
    <w:rsid w:val="00F30B72"/>
    <w:rsid w:val="00F30CFC"/>
    <w:rsid w:val="00F30D1C"/>
    <w:rsid w:val="00F333B7"/>
    <w:rsid w:val="00F35FEB"/>
    <w:rsid w:val="00F36AAC"/>
    <w:rsid w:val="00F37E58"/>
    <w:rsid w:val="00F42B38"/>
    <w:rsid w:val="00F44A21"/>
    <w:rsid w:val="00F452C2"/>
    <w:rsid w:val="00F46505"/>
    <w:rsid w:val="00F500AF"/>
    <w:rsid w:val="00F509BD"/>
    <w:rsid w:val="00F55E51"/>
    <w:rsid w:val="00F623E2"/>
    <w:rsid w:val="00F66028"/>
    <w:rsid w:val="00F7133F"/>
    <w:rsid w:val="00F74D2E"/>
    <w:rsid w:val="00F751A2"/>
    <w:rsid w:val="00F84F05"/>
    <w:rsid w:val="00F8773B"/>
    <w:rsid w:val="00F87B31"/>
    <w:rsid w:val="00F92380"/>
    <w:rsid w:val="00F9284C"/>
    <w:rsid w:val="00F940DC"/>
    <w:rsid w:val="00F94158"/>
    <w:rsid w:val="00F945B3"/>
    <w:rsid w:val="00F95298"/>
    <w:rsid w:val="00F96E9B"/>
    <w:rsid w:val="00FA0354"/>
    <w:rsid w:val="00FA1DB9"/>
    <w:rsid w:val="00FA631D"/>
    <w:rsid w:val="00FA71C4"/>
    <w:rsid w:val="00FA7341"/>
    <w:rsid w:val="00FB1FD1"/>
    <w:rsid w:val="00FB485F"/>
    <w:rsid w:val="00FB4C2C"/>
    <w:rsid w:val="00FC3D52"/>
    <w:rsid w:val="00FD0C4C"/>
    <w:rsid w:val="00FD29DD"/>
    <w:rsid w:val="00FD6140"/>
    <w:rsid w:val="00FD6728"/>
    <w:rsid w:val="00FE18CB"/>
    <w:rsid w:val="00FE7946"/>
    <w:rsid w:val="00FF2A02"/>
    <w:rsid w:val="00FF32B8"/>
    <w:rsid w:val="00FF3908"/>
    <w:rsid w:val="00FF4238"/>
    <w:rsid w:val="00FF532B"/>
    <w:rsid w:val="00FF5378"/>
    <w:rsid w:val="00FF5EBA"/>
    <w:rsid w:val="00FF6C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841D0"/>
  <w15:chartTrackingRefBased/>
  <w15:docId w15:val="{C2BD3A22-333D-49F0-B2A3-C923A12A4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64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5D79F7"/>
    <w:pPr>
      <w:keepNext/>
      <w:keepLines/>
      <w:spacing w:before="480" w:after="0"/>
      <w:outlineLvl w:val="0"/>
    </w:pPr>
    <w:rPr>
      <w:rFonts w:ascii="Calibri Light" w:eastAsia="Times New Roman" w:hAnsi="Calibri Light"/>
      <w:b/>
      <w:bCs/>
      <w:color w:val="2F5496"/>
      <w:sz w:val="28"/>
      <w:szCs w:val="28"/>
    </w:rPr>
  </w:style>
  <w:style w:type="paragraph" w:styleId="Ttulo2">
    <w:name w:val="heading 2"/>
    <w:aliases w:val="Título 2 CCE"/>
    <w:basedOn w:val="Normal"/>
    <w:next w:val="Normal"/>
    <w:link w:val="Ttulo2Car"/>
    <w:uiPriority w:val="9"/>
    <w:unhideWhenUsed/>
    <w:qFormat/>
    <w:rsid w:val="005D79F7"/>
    <w:pPr>
      <w:keepNext/>
      <w:keepLines/>
      <w:spacing w:before="200" w:after="0"/>
      <w:outlineLvl w:val="1"/>
    </w:pPr>
    <w:rPr>
      <w:rFonts w:ascii="Calibri Light" w:eastAsia="Times New Roman" w:hAnsi="Calibri Light"/>
      <w:b/>
      <w:bCs/>
      <w:color w:val="4472C4"/>
      <w:sz w:val="26"/>
      <w:szCs w:val="26"/>
    </w:rPr>
  </w:style>
  <w:style w:type="paragraph" w:styleId="Ttulo3">
    <w:name w:val="heading 3"/>
    <w:basedOn w:val="Normal"/>
    <w:next w:val="Normal"/>
    <w:link w:val="Ttulo3Car"/>
    <w:uiPriority w:val="9"/>
    <w:unhideWhenUsed/>
    <w:qFormat/>
    <w:rsid w:val="005D79F7"/>
    <w:pPr>
      <w:keepNext/>
      <w:keepLines/>
      <w:spacing w:before="200" w:after="0"/>
      <w:outlineLvl w:val="2"/>
    </w:pPr>
    <w:rPr>
      <w:rFonts w:ascii="Calibri Light" w:eastAsia="Times New Roman" w:hAnsi="Calibri Light"/>
      <w:b/>
      <w:bCs/>
      <w:color w:val="4472C4"/>
    </w:rPr>
  </w:style>
  <w:style w:type="paragraph" w:styleId="Ttulo4">
    <w:name w:val="heading 4"/>
    <w:basedOn w:val="Normal"/>
    <w:next w:val="Normal"/>
    <w:link w:val="Ttulo4Car"/>
    <w:uiPriority w:val="9"/>
    <w:unhideWhenUsed/>
    <w:qFormat/>
    <w:rsid w:val="005D79F7"/>
    <w:pPr>
      <w:keepNext/>
      <w:keepLines/>
      <w:spacing w:before="200" w:after="0"/>
      <w:outlineLvl w:val="3"/>
    </w:pPr>
    <w:rPr>
      <w:rFonts w:ascii="Calibri Light" w:eastAsia="Times New Roman" w:hAnsi="Calibri Light"/>
      <w:b/>
      <w:bCs/>
      <w:i/>
      <w:iCs/>
      <w:color w:val="4472C4"/>
    </w:rPr>
  </w:style>
  <w:style w:type="paragraph" w:styleId="Ttulo5">
    <w:name w:val="heading 5"/>
    <w:basedOn w:val="Normal"/>
    <w:next w:val="Normal"/>
    <w:link w:val="Ttulo5Car"/>
    <w:uiPriority w:val="9"/>
    <w:unhideWhenUsed/>
    <w:qFormat/>
    <w:rsid w:val="005D79F7"/>
    <w:pPr>
      <w:keepNext/>
      <w:keepLines/>
      <w:widowControl w:val="0"/>
      <w:autoSpaceDE w:val="0"/>
      <w:autoSpaceDN w:val="0"/>
      <w:spacing w:before="40" w:after="0" w:line="240" w:lineRule="auto"/>
      <w:outlineLvl w:val="4"/>
    </w:pPr>
    <w:rPr>
      <w:rFonts w:ascii="Calibri Light" w:eastAsia="Times New Roman" w:hAnsi="Calibri Light"/>
      <w:color w:val="2F5496"/>
      <w:kern w:val="0"/>
    </w:rPr>
  </w:style>
  <w:style w:type="paragraph" w:styleId="Ttulo6">
    <w:name w:val="heading 6"/>
    <w:basedOn w:val="Normal"/>
    <w:next w:val="Normal"/>
    <w:link w:val="Ttulo6Car"/>
    <w:uiPriority w:val="9"/>
    <w:unhideWhenUsed/>
    <w:qFormat/>
    <w:rsid w:val="005D79F7"/>
    <w:pPr>
      <w:keepNext/>
      <w:keepLines/>
      <w:widowControl w:val="0"/>
      <w:autoSpaceDE w:val="0"/>
      <w:autoSpaceDN w:val="0"/>
      <w:spacing w:before="40" w:after="0" w:line="240" w:lineRule="auto"/>
      <w:outlineLvl w:val="5"/>
    </w:pPr>
    <w:rPr>
      <w:rFonts w:ascii="Calibri Light" w:eastAsia="Times New Roman" w:hAnsi="Calibri Light"/>
      <w:color w:val="1F3763"/>
      <w:kern w:val="0"/>
    </w:rPr>
  </w:style>
  <w:style w:type="paragraph" w:styleId="Ttulo7">
    <w:name w:val="heading 7"/>
    <w:basedOn w:val="Normal"/>
    <w:next w:val="Normal"/>
    <w:link w:val="Ttulo7Car"/>
    <w:uiPriority w:val="9"/>
    <w:semiHidden/>
    <w:unhideWhenUsed/>
    <w:qFormat/>
    <w:rsid w:val="005D79F7"/>
    <w:pPr>
      <w:keepNext/>
      <w:keepLines/>
      <w:widowControl w:val="0"/>
      <w:autoSpaceDE w:val="0"/>
      <w:autoSpaceDN w:val="0"/>
      <w:spacing w:before="40" w:after="0" w:line="240" w:lineRule="auto"/>
      <w:outlineLvl w:val="6"/>
    </w:pPr>
    <w:rPr>
      <w:rFonts w:ascii="Calibri Light" w:eastAsia="Times New Roman" w:hAnsi="Calibri Light"/>
      <w:i/>
      <w:iCs/>
      <w:color w:val="1F3763"/>
      <w:kern w:val="0"/>
    </w:rPr>
  </w:style>
  <w:style w:type="paragraph" w:styleId="Ttulo8">
    <w:name w:val="heading 8"/>
    <w:basedOn w:val="Normal"/>
    <w:next w:val="Normal"/>
    <w:link w:val="Ttulo8Car"/>
    <w:uiPriority w:val="9"/>
    <w:semiHidden/>
    <w:unhideWhenUsed/>
    <w:qFormat/>
    <w:rsid w:val="005D79F7"/>
    <w:pPr>
      <w:keepNext/>
      <w:keepLines/>
      <w:widowControl w:val="0"/>
      <w:autoSpaceDE w:val="0"/>
      <w:autoSpaceDN w:val="0"/>
      <w:spacing w:before="40" w:after="0" w:line="240" w:lineRule="auto"/>
      <w:outlineLvl w:val="7"/>
    </w:pPr>
    <w:rPr>
      <w:rFonts w:ascii="Calibri Light" w:eastAsia="Times New Roman" w:hAnsi="Calibri Light"/>
      <w:color w:val="272727"/>
      <w:kern w:val="0"/>
      <w:sz w:val="21"/>
      <w:szCs w:val="21"/>
    </w:rPr>
  </w:style>
  <w:style w:type="paragraph" w:styleId="Ttulo9">
    <w:name w:val="heading 9"/>
    <w:basedOn w:val="Normal"/>
    <w:next w:val="Normal"/>
    <w:link w:val="Ttulo9Car"/>
    <w:uiPriority w:val="9"/>
    <w:semiHidden/>
    <w:unhideWhenUsed/>
    <w:qFormat/>
    <w:rsid w:val="005D79F7"/>
    <w:pPr>
      <w:keepNext/>
      <w:keepLines/>
      <w:widowControl w:val="0"/>
      <w:autoSpaceDE w:val="0"/>
      <w:autoSpaceDN w:val="0"/>
      <w:spacing w:before="40" w:after="0" w:line="240" w:lineRule="auto"/>
      <w:outlineLvl w:val="8"/>
    </w:pPr>
    <w:rPr>
      <w:rFonts w:ascii="Calibri Light" w:eastAsia="Times New Roman" w:hAnsi="Calibri Light"/>
      <w:i/>
      <w:iCs/>
      <w:color w:val="272727"/>
      <w:kern w:val="0"/>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 Encabezado,Encabezado AL,h,h8,h9,h10,h18, Car14,Car14,encabezado,Haut de page,En-tête 1.1,Cover Page,Tit 1"/>
    <w:basedOn w:val="Normal"/>
    <w:link w:val="EncabezadoCar"/>
    <w:uiPriority w:val="99"/>
    <w:unhideWhenUsed/>
    <w:qFormat/>
    <w:rsid w:val="00757B36"/>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14 Car,Car14 Car,encabezado Car,Haut de page Car,En-tête 1.1 Car,Cover Page Car,Tit 1 Car"/>
    <w:basedOn w:val="Fuentedeprrafopredeter"/>
    <w:link w:val="Encabezado"/>
    <w:uiPriority w:val="99"/>
    <w:rsid w:val="00757B36"/>
  </w:style>
  <w:style w:type="paragraph" w:styleId="Piedepgina">
    <w:name w:val="footer"/>
    <w:aliases w:val="pie de página,Ca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aliases w:val="pie de página Car,Car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p1,Scitum normal"/>
    <w:basedOn w:val="Normal"/>
    <w:link w:val="PrrafodelistaCar"/>
    <w:uiPriority w:val="34"/>
    <w:qFormat/>
    <w:rsid w:val="00757B36"/>
    <w:pPr>
      <w:ind w:left="720"/>
      <w:contextualSpacing/>
    </w:pPr>
  </w:style>
  <w:style w:type="character" w:customStyle="1" w:styleId="normaltextrun">
    <w:name w:val="normaltextrun"/>
    <w:basedOn w:val="Fuentedeprrafopredeter"/>
    <w:rsid w:val="00B64AAD"/>
  </w:style>
  <w:style w:type="paragraph" w:customStyle="1" w:styleId="paragraph">
    <w:name w:val="paragraph"/>
    <w:basedOn w:val="Normal"/>
    <w:rsid w:val="00B64AAD"/>
    <w:pPr>
      <w:spacing w:before="100" w:beforeAutospacing="1" w:after="100" w:afterAutospacing="1" w:line="240" w:lineRule="auto"/>
    </w:pPr>
    <w:rPr>
      <w:rFonts w:ascii="Times New Roman" w:eastAsia="Times New Roman" w:hAnsi="Times New Roman"/>
      <w:kern w:val="0"/>
      <w:sz w:val="24"/>
      <w:szCs w:val="24"/>
      <w:lang w:val="en-US"/>
    </w:rPr>
  </w:style>
  <w:style w:type="paragraph" w:styleId="Textodeglobo">
    <w:name w:val="Balloon Text"/>
    <w:basedOn w:val="Normal"/>
    <w:link w:val="TextodegloboCar"/>
    <w:uiPriority w:val="99"/>
    <w:semiHidden/>
    <w:unhideWhenUsed/>
    <w:rsid w:val="005D79F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5D79F7"/>
    <w:rPr>
      <w:rFonts w:ascii="Tahoma" w:hAnsi="Tahoma" w:cs="Tahoma"/>
      <w:sz w:val="16"/>
      <w:szCs w:val="16"/>
    </w:rPr>
  </w:style>
  <w:style w:type="paragraph" w:customStyle="1" w:styleId="1">
    <w:name w:val="1"/>
    <w:basedOn w:val="Ttulo1"/>
    <w:next w:val="Normal"/>
    <w:uiPriority w:val="39"/>
    <w:unhideWhenUsed/>
    <w:qFormat/>
    <w:rsid w:val="005D79F7"/>
    <w:pPr>
      <w:spacing w:before="240"/>
      <w:outlineLvl w:val="9"/>
    </w:pPr>
    <w:rPr>
      <w:b w:val="0"/>
      <w:bCs w:val="0"/>
      <w:kern w:val="0"/>
      <w:sz w:val="32"/>
      <w:szCs w:val="32"/>
      <w:lang w:eastAsia="es-CO"/>
    </w:rPr>
  </w:style>
  <w:style w:type="paragraph" w:styleId="TDC1">
    <w:name w:val="toc 1"/>
    <w:basedOn w:val="Normal"/>
    <w:next w:val="Normal"/>
    <w:autoRedefine/>
    <w:uiPriority w:val="39"/>
    <w:unhideWhenUsed/>
    <w:rsid w:val="00564F61"/>
    <w:pPr>
      <w:tabs>
        <w:tab w:val="left" w:pos="440"/>
        <w:tab w:val="right" w:leader="dot" w:pos="8789"/>
      </w:tabs>
      <w:spacing w:after="0"/>
    </w:pPr>
  </w:style>
  <w:style w:type="paragraph" w:styleId="Tabladeilustraciones">
    <w:name w:val="table of figures"/>
    <w:basedOn w:val="Normal"/>
    <w:next w:val="Normal"/>
    <w:uiPriority w:val="99"/>
    <w:unhideWhenUsed/>
    <w:rsid w:val="005D79F7"/>
  </w:style>
  <w:style w:type="paragraph" w:styleId="TDC2">
    <w:name w:val="toc 2"/>
    <w:basedOn w:val="Normal"/>
    <w:next w:val="Normal"/>
    <w:autoRedefine/>
    <w:uiPriority w:val="39"/>
    <w:unhideWhenUsed/>
    <w:rsid w:val="005D79F7"/>
    <w:pPr>
      <w:tabs>
        <w:tab w:val="left" w:pos="880"/>
        <w:tab w:val="right" w:leader="dot" w:pos="8789"/>
      </w:tabs>
      <w:spacing w:after="0"/>
      <w:ind w:left="220"/>
    </w:pPr>
  </w:style>
  <w:style w:type="paragraph" w:styleId="TDC3">
    <w:name w:val="toc 3"/>
    <w:basedOn w:val="Normal"/>
    <w:next w:val="Normal"/>
    <w:autoRedefine/>
    <w:uiPriority w:val="39"/>
    <w:unhideWhenUsed/>
    <w:rsid w:val="005D79F7"/>
    <w:pPr>
      <w:tabs>
        <w:tab w:val="left" w:pos="1100"/>
        <w:tab w:val="right" w:leader="dot" w:pos="8789"/>
      </w:tabs>
      <w:spacing w:after="0"/>
      <w:ind w:left="440"/>
    </w:pPr>
  </w:style>
  <w:style w:type="character" w:customStyle="1" w:styleId="Ttulo1Car">
    <w:name w:val="Título 1 Car"/>
    <w:link w:val="Ttulo1"/>
    <w:uiPriority w:val="9"/>
    <w:rsid w:val="005D79F7"/>
    <w:rPr>
      <w:rFonts w:ascii="Calibri Light" w:eastAsia="Times New Roman" w:hAnsi="Calibri Light" w:cs="Times New Roman"/>
      <w:b/>
      <w:bCs/>
      <w:color w:val="2F5496"/>
      <w:sz w:val="28"/>
      <w:szCs w:val="28"/>
    </w:rPr>
  </w:style>
  <w:style w:type="character" w:customStyle="1" w:styleId="Ttulo2Car">
    <w:name w:val="Título 2 Car"/>
    <w:aliases w:val="Título 2 CCE Car"/>
    <w:link w:val="Ttulo2"/>
    <w:uiPriority w:val="9"/>
    <w:rsid w:val="005D79F7"/>
    <w:rPr>
      <w:rFonts w:ascii="Calibri Light" w:eastAsia="Times New Roman" w:hAnsi="Calibri Light" w:cs="Times New Roman"/>
      <w:b/>
      <w:bCs/>
      <w:color w:val="4472C4"/>
      <w:sz w:val="26"/>
      <w:szCs w:val="26"/>
    </w:rPr>
  </w:style>
  <w:style w:type="character" w:customStyle="1" w:styleId="Ttulo3Car">
    <w:name w:val="Título 3 Car"/>
    <w:link w:val="Ttulo3"/>
    <w:uiPriority w:val="9"/>
    <w:rsid w:val="005D79F7"/>
    <w:rPr>
      <w:rFonts w:ascii="Calibri Light" w:eastAsia="Times New Roman" w:hAnsi="Calibri Light" w:cs="Times New Roman"/>
      <w:b/>
      <w:bCs/>
      <w:color w:val="4472C4"/>
    </w:rPr>
  </w:style>
  <w:style w:type="character" w:customStyle="1" w:styleId="Ttulo4Car">
    <w:name w:val="Título 4 Car"/>
    <w:link w:val="Ttulo4"/>
    <w:uiPriority w:val="9"/>
    <w:rsid w:val="005D79F7"/>
    <w:rPr>
      <w:rFonts w:ascii="Calibri Light" w:eastAsia="Times New Roman" w:hAnsi="Calibri Light" w:cs="Times New Roman"/>
      <w:b/>
      <w:bCs/>
      <w:i/>
      <w:iCs/>
      <w:color w:val="4472C4"/>
    </w:rPr>
  </w:style>
  <w:style w:type="character" w:customStyle="1" w:styleId="Ttulo5Car">
    <w:name w:val="Título 5 Car"/>
    <w:link w:val="Ttulo5"/>
    <w:uiPriority w:val="9"/>
    <w:rsid w:val="005D79F7"/>
    <w:rPr>
      <w:rFonts w:ascii="Calibri Light" w:eastAsia="Times New Roman" w:hAnsi="Calibri Light" w:cs="Times New Roman"/>
      <w:color w:val="2F5496"/>
      <w:kern w:val="0"/>
    </w:rPr>
  </w:style>
  <w:style w:type="character" w:customStyle="1" w:styleId="Ttulo6Car">
    <w:name w:val="Título 6 Car"/>
    <w:link w:val="Ttulo6"/>
    <w:uiPriority w:val="9"/>
    <w:rsid w:val="005D79F7"/>
    <w:rPr>
      <w:rFonts w:ascii="Calibri Light" w:eastAsia="Times New Roman" w:hAnsi="Calibri Light" w:cs="Times New Roman"/>
      <w:color w:val="1F3763"/>
      <w:kern w:val="0"/>
    </w:rPr>
  </w:style>
  <w:style w:type="character" w:customStyle="1" w:styleId="Ttulo7Car">
    <w:name w:val="Título 7 Car"/>
    <w:link w:val="Ttulo7"/>
    <w:uiPriority w:val="9"/>
    <w:semiHidden/>
    <w:rsid w:val="005D79F7"/>
    <w:rPr>
      <w:rFonts w:ascii="Calibri Light" w:eastAsia="Times New Roman" w:hAnsi="Calibri Light" w:cs="Times New Roman"/>
      <w:i/>
      <w:iCs/>
      <w:color w:val="1F3763"/>
      <w:kern w:val="0"/>
    </w:rPr>
  </w:style>
  <w:style w:type="character" w:customStyle="1" w:styleId="Ttulo8Car">
    <w:name w:val="Título 8 Car"/>
    <w:link w:val="Ttulo8"/>
    <w:uiPriority w:val="9"/>
    <w:semiHidden/>
    <w:rsid w:val="005D79F7"/>
    <w:rPr>
      <w:rFonts w:ascii="Calibri Light" w:eastAsia="Times New Roman" w:hAnsi="Calibri Light" w:cs="Times New Roman"/>
      <w:color w:val="272727"/>
      <w:kern w:val="0"/>
      <w:sz w:val="21"/>
      <w:szCs w:val="21"/>
    </w:rPr>
  </w:style>
  <w:style w:type="character" w:customStyle="1" w:styleId="Ttulo9Car">
    <w:name w:val="Título 9 Car"/>
    <w:link w:val="Ttulo9"/>
    <w:uiPriority w:val="9"/>
    <w:semiHidden/>
    <w:rsid w:val="005D79F7"/>
    <w:rPr>
      <w:rFonts w:ascii="Calibri Light" w:eastAsia="Times New Roman" w:hAnsi="Calibri Light" w:cs="Times New Roman"/>
      <w:i/>
      <w:iCs/>
      <w:color w:val="272727"/>
      <w:kern w:val="0"/>
      <w:sz w:val="21"/>
      <w:szCs w:val="21"/>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rsid w:val="005D79F7"/>
  </w:style>
  <w:style w:type="paragraph" w:customStyle="1" w:styleId="Normal1">
    <w:name w:val="Normal1"/>
    <w:qFormat/>
    <w:rsid w:val="005D79F7"/>
    <w:pPr>
      <w:suppressAutoHyphens/>
      <w:textAlignment w:val="baseline"/>
    </w:pPr>
    <w:rPr>
      <w:rFonts w:ascii="Times New Roman" w:eastAsia="Times New Roman" w:hAnsi="Times New Roman"/>
      <w:color w:val="00000A"/>
      <w:lang w:eastAsia="zh-CN"/>
    </w:rPr>
  </w:style>
  <w:style w:type="table" w:styleId="Tablaconcuadrcula">
    <w:name w:val="Table Grid"/>
    <w:aliases w:val="sin cuadricula,SGI,Tabla GEOCOL,Petrominerales,petro,Tabla sin cuadrícula,Tabla con cuadrícula-1"/>
    <w:basedOn w:val="Tablanormal"/>
    <w:uiPriority w:val="39"/>
    <w:qFormat/>
    <w:rsid w:val="005D79F7"/>
    <w:rPr>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5D79F7"/>
    <w:pPr>
      <w:autoSpaceDE w:val="0"/>
      <w:autoSpaceDN w:val="0"/>
      <w:adjustRightInd w:val="0"/>
    </w:pPr>
    <w:rPr>
      <w:rFonts w:ascii="Arial" w:hAnsi="Arial" w:cs="Arial"/>
      <w:color w:val="000000"/>
      <w:sz w:val="24"/>
      <w:szCs w:val="24"/>
      <w:lang w:eastAsia="en-US"/>
    </w:rPr>
  </w:style>
  <w:style w:type="character" w:customStyle="1" w:styleId="DefaultCar">
    <w:name w:val="Default Car"/>
    <w:link w:val="Default"/>
    <w:qFormat/>
    <w:locked/>
    <w:rsid w:val="005D79F7"/>
    <w:rPr>
      <w:rFonts w:ascii="Arial" w:eastAsia="Calibri" w:hAnsi="Arial" w:cs="Arial"/>
      <w:color w:val="000000"/>
      <w:kern w:val="0"/>
      <w:sz w:val="24"/>
      <w:szCs w:val="24"/>
    </w:rPr>
  </w:style>
  <w:style w:type="paragraph" w:styleId="Textoindependiente">
    <w:name w:val="Body Text"/>
    <w:aliases w:val="body text,bt,Subsection Body Text,Inicio"/>
    <w:basedOn w:val="Normal"/>
    <w:link w:val="TextoindependienteCar"/>
    <w:uiPriority w:val="1"/>
    <w:qFormat/>
    <w:rsid w:val="005D79F7"/>
    <w:pPr>
      <w:widowControl w:val="0"/>
      <w:autoSpaceDE w:val="0"/>
      <w:autoSpaceDN w:val="0"/>
      <w:spacing w:after="0" w:line="240" w:lineRule="auto"/>
    </w:pPr>
    <w:rPr>
      <w:rFonts w:ascii="Segoe UI Emoji" w:eastAsia="Segoe UI Emoji" w:hAnsi="Segoe UI Emoji" w:cs="Segoe UI Emoji"/>
      <w:kern w:val="0"/>
      <w:sz w:val="20"/>
      <w:szCs w:val="20"/>
      <w:lang w:val="es-ES"/>
    </w:rPr>
  </w:style>
  <w:style w:type="character" w:customStyle="1" w:styleId="TextoindependienteCar">
    <w:name w:val="Texto independiente Car"/>
    <w:aliases w:val="body text Car,bt Car,Subsection Body Text Car,Inicio Car"/>
    <w:link w:val="Textoindependiente"/>
    <w:uiPriority w:val="1"/>
    <w:rsid w:val="005D79F7"/>
    <w:rPr>
      <w:rFonts w:ascii="Segoe UI Emoji" w:eastAsia="Segoe UI Emoji" w:hAnsi="Segoe UI Emoji" w:cs="Segoe UI Emoji"/>
      <w:kern w:val="0"/>
      <w:sz w:val="20"/>
      <w:szCs w:val="20"/>
      <w:lang w:val="es-ES"/>
    </w:rPr>
  </w:style>
  <w:style w:type="paragraph" w:customStyle="1" w:styleId="Standard">
    <w:name w:val="Standard"/>
    <w:link w:val="StandardCar"/>
    <w:qFormat/>
    <w:rsid w:val="005D79F7"/>
    <w:pPr>
      <w:suppressAutoHyphens/>
      <w:autoSpaceDN w:val="0"/>
      <w:textAlignment w:val="baseline"/>
    </w:pPr>
    <w:rPr>
      <w:rFonts w:ascii="Times New Roman" w:eastAsia="Times New Roman" w:hAnsi="Times New Roman"/>
      <w:kern w:val="3"/>
      <w:lang w:eastAsia="zh-CN"/>
    </w:rPr>
  </w:style>
  <w:style w:type="character" w:customStyle="1" w:styleId="StandardCar">
    <w:name w:val="Standard Car"/>
    <w:link w:val="Standard"/>
    <w:locked/>
    <w:rsid w:val="005D79F7"/>
    <w:rPr>
      <w:rFonts w:ascii="Times New Roman" w:eastAsia="Times New Roman" w:hAnsi="Times New Roman" w:cs="Times New Roman"/>
      <w:kern w:val="3"/>
      <w:sz w:val="20"/>
      <w:szCs w:val="20"/>
      <w:lang w:eastAsia="zh-CN"/>
    </w:rPr>
  </w:style>
  <w:style w:type="character" w:customStyle="1" w:styleId="eop">
    <w:name w:val="eop"/>
    <w:rsid w:val="005D79F7"/>
  </w:style>
  <w:style w:type="paragraph" w:styleId="NormalWeb">
    <w:name w:val="Normal (Web)"/>
    <w:aliases w:val="Normal (Web) Car Car,Normal (Web) Car Car Car,Normal (Web) Car,Normal (Web) Car Car Car Car Car Car,Normal (Web) Car Car Car Car Car Car Car Car Car,Normal (Web)1,Normal (Web)2,Car Car Car Car Car Car Car Car Car Car"/>
    <w:basedOn w:val="Normal"/>
    <w:link w:val="NormalWebCar1"/>
    <w:uiPriority w:val="99"/>
    <w:unhideWhenUsed/>
    <w:qFormat/>
    <w:rsid w:val="005D79F7"/>
    <w:pPr>
      <w:spacing w:before="100" w:beforeAutospacing="1" w:after="119" w:line="240" w:lineRule="auto"/>
    </w:pPr>
    <w:rPr>
      <w:rFonts w:ascii="Times New Roman" w:eastAsia="Times New Roman" w:hAnsi="Times New Roman"/>
      <w:kern w:val="0"/>
      <w:sz w:val="24"/>
      <w:szCs w:val="24"/>
      <w:lang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Normal (Web)1 Car,Normal (Web)2 Car"/>
    <w:link w:val="NormalWeb"/>
    <w:uiPriority w:val="99"/>
    <w:qFormat/>
    <w:rsid w:val="005D79F7"/>
    <w:rPr>
      <w:rFonts w:ascii="Times New Roman" w:eastAsia="Times New Roman" w:hAnsi="Times New Roman" w:cs="Times New Roman"/>
      <w:kern w:val="0"/>
      <w:sz w:val="24"/>
      <w:szCs w:val="24"/>
      <w:lang w:eastAsia="es-CO"/>
    </w:rPr>
  </w:style>
  <w:style w:type="paragraph" w:styleId="Sangra3detindependiente">
    <w:name w:val="Body Text Indent 3"/>
    <w:basedOn w:val="Normal"/>
    <w:link w:val="Sangra3detindependienteCar"/>
    <w:uiPriority w:val="99"/>
    <w:unhideWhenUsed/>
    <w:rsid w:val="005D79F7"/>
    <w:pPr>
      <w:suppressAutoHyphens/>
      <w:spacing w:after="120" w:line="240" w:lineRule="auto"/>
      <w:ind w:left="283"/>
    </w:pPr>
    <w:rPr>
      <w:rFonts w:ascii="Times New Roman" w:eastAsia="Times New Roman" w:hAnsi="Times New Roman"/>
      <w:kern w:val="0"/>
      <w:sz w:val="16"/>
      <w:szCs w:val="16"/>
      <w:lang w:val="es-ES" w:eastAsia="ar-SA"/>
    </w:rPr>
  </w:style>
  <w:style w:type="character" w:customStyle="1" w:styleId="Sangra3detindependienteCar">
    <w:name w:val="Sangría 3 de t. independiente Car"/>
    <w:link w:val="Sangra3detindependiente"/>
    <w:uiPriority w:val="99"/>
    <w:rsid w:val="005D79F7"/>
    <w:rPr>
      <w:rFonts w:ascii="Times New Roman" w:eastAsia="Times New Roman" w:hAnsi="Times New Roman" w:cs="Times New Roman"/>
      <w:kern w:val="0"/>
      <w:sz w:val="16"/>
      <w:szCs w:val="16"/>
      <w:lang w:val="es-ES" w:eastAsia="ar-SA"/>
    </w:rPr>
  </w:style>
  <w:style w:type="table" w:customStyle="1" w:styleId="NormalTable0">
    <w:name w:val="Normal Table0"/>
    <w:uiPriority w:val="2"/>
    <w:semiHidden/>
    <w:unhideWhenUsed/>
    <w:qFormat/>
    <w:rsid w:val="005D79F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Hipervnculovisitado">
    <w:name w:val="FollowedHyperlink"/>
    <w:uiPriority w:val="99"/>
    <w:semiHidden/>
    <w:unhideWhenUsed/>
    <w:rsid w:val="005D79F7"/>
    <w:rPr>
      <w:color w:val="800080"/>
      <w:u w:val="single"/>
    </w:rPr>
  </w:style>
  <w:style w:type="character" w:styleId="Fuerte">
    <w:name w:val="Strong"/>
    <w:uiPriority w:val="22"/>
    <w:qFormat/>
    <w:rsid w:val="005D79F7"/>
    <w:rPr>
      <w:b/>
      <w:bCs/>
    </w:rPr>
  </w:style>
  <w:style w:type="paragraph" w:styleId="Textonotapie">
    <w:name w:val="footnote text"/>
    <w:aliases w:val="texto de nota al pie,ft,Texto nota pie Car Car Car Car,Texto nota pie Car Car Car,Footnote Text Char Char,Footnote Text1 Char,Footnote Text Char Char Char Char,Footnote Text Char,Car11 Car Car Car Car,Nota a pie/Bibliog,FOOTNOTES,fn,ADB"/>
    <w:basedOn w:val="Normal"/>
    <w:link w:val="TextonotapieCar"/>
    <w:uiPriority w:val="99"/>
    <w:unhideWhenUsed/>
    <w:qFormat/>
    <w:rsid w:val="005D79F7"/>
    <w:pPr>
      <w:spacing w:after="0" w:line="240" w:lineRule="auto"/>
    </w:pPr>
    <w:rPr>
      <w:rFonts w:eastAsia="MS Mincho"/>
      <w:sz w:val="20"/>
      <w:szCs w:val="20"/>
      <w:lang w:eastAsia="ja-JP"/>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link w:val="Textonotapie"/>
    <w:uiPriority w:val="99"/>
    <w:qFormat/>
    <w:rsid w:val="005D79F7"/>
    <w:rPr>
      <w:rFonts w:ascii="Calibri" w:eastAsia="MS Mincho" w:hAnsi="Calibri" w:cs="Times New Roman"/>
      <w:sz w:val="20"/>
      <w:szCs w:val="20"/>
      <w:lang w:eastAsia="ja-JP"/>
    </w:rPr>
  </w:style>
  <w:style w:type="character" w:styleId="Refdenotaalpie">
    <w:name w:val="footnote reference"/>
    <w:aliases w:val="referencia nota al pie,Texto de nota al pie,Ref,de nota al pie,FC,BVI fnr,BVI fnr Car Car,BVI fnr Car Car Car Car,Ref. de nota al pie2,Nota de pie,Referencia nota al pie,BVI fnr Car,4_G, BVI fnr, BVI fnr Car Car,Ref. de nota al pie 2"/>
    <w:link w:val="Char2"/>
    <w:uiPriority w:val="99"/>
    <w:unhideWhenUsed/>
    <w:qFormat/>
    <w:rsid w:val="005D79F7"/>
    <w:rPr>
      <w:vertAlign w:val="superscript"/>
    </w:rPr>
  </w:style>
  <w:style w:type="character" w:styleId="Refdecomentario">
    <w:name w:val="annotation reference"/>
    <w:uiPriority w:val="99"/>
    <w:unhideWhenUsed/>
    <w:rsid w:val="005D79F7"/>
    <w:rPr>
      <w:sz w:val="16"/>
      <w:szCs w:val="16"/>
    </w:rPr>
  </w:style>
  <w:style w:type="paragraph" w:styleId="Textocomentario">
    <w:name w:val="annotation text"/>
    <w:basedOn w:val="Normal"/>
    <w:link w:val="TextocomentarioCar"/>
    <w:uiPriority w:val="99"/>
    <w:unhideWhenUsed/>
    <w:rsid w:val="005D79F7"/>
    <w:pPr>
      <w:suppressAutoHyphens/>
      <w:spacing w:after="0" w:line="240" w:lineRule="auto"/>
    </w:pPr>
    <w:rPr>
      <w:rFonts w:ascii="Times New Roman" w:eastAsia="Times New Roman" w:hAnsi="Times New Roman"/>
      <w:kern w:val="0"/>
      <w:sz w:val="20"/>
      <w:szCs w:val="20"/>
      <w:lang w:val="es-ES" w:eastAsia="ar-SA"/>
    </w:rPr>
  </w:style>
  <w:style w:type="character" w:customStyle="1" w:styleId="TextocomentarioCar">
    <w:name w:val="Texto comentario Car"/>
    <w:link w:val="Textocomentario"/>
    <w:uiPriority w:val="99"/>
    <w:rsid w:val="005D79F7"/>
    <w:rPr>
      <w:rFonts w:ascii="Times New Roman" w:eastAsia="Times New Roman" w:hAnsi="Times New Roman" w:cs="Times New Roman"/>
      <w:kern w:val="0"/>
      <w:sz w:val="20"/>
      <w:szCs w:val="20"/>
      <w:lang w:val="es-ES" w:eastAsia="ar-SA"/>
    </w:rPr>
  </w:style>
  <w:style w:type="paragraph" w:styleId="Descripcin">
    <w:name w:val="caption"/>
    <w:basedOn w:val="Normal"/>
    <w:next w:val="Normal"/>
    <w:link w:val="DescripcinCar"/>
    <w:uiPriority w:val="35"/>
    <w:unhideWhenUsed/>
    <w:qFormat/>
    <w:rsid w:val="005D79F7"/>
    <w:rPr>
      <w:b/>
      <w:bCs/>
      <w:sz w:val="20"/>
      <w:szCs w:val="20"/>
    </w:rPr>
  </w:style>
  <w:style w:type="character" w:customStyle="1" w:styleId="DescripcinCar">
    <w:name w:val="Descripción Car"/>
    <w:link w:val="Descripcin"/>
    <w:uiPriority w:val="35"/>
    <w:rsid w:val="005D79F7"/>
    <w:rPr>
      <w:rFonts w:ascii="Calibri" w:eastAsia="Calibri" w:hAnsi="Calibri" w:cs="Times New Roman"/>
      <w:b/>
      <w:bCs/>
      <w:sz w:val="20"/>
      <w:szCs w:val="20"/>
    </w:rPr>
  </w:style>
  <w:style w:type="paragraph" w:customStyle="1" w:styleId="TableParagraph">
    <w:name w:val="Table Paragraph"/>
    <w:basedOn w:val="Normal"/>
    <w:uiPriority w:val="1"/>
    <w:qFormat/>
    <w:rsid w:val="005D79F7"/>
    <w:pPr>
      <w:widowControl w:val="0"/>
      <w:autoSpaceDE w:val="0"/>
      <w:autoSpaceDN w:val="0"/>
      <w:spacing w:after="0" w:line="240" w:lineRule="auto"/>
    </w:pPr>
    <w:rPr>
      <w:rFonts w:ascii="Verdana" w:eastAsia="Verdana" w:hAnsi="Verdana" w:cs="Verdana"/>
      <w:kern w:val="0"/>
      <w:lang w:val="es-ES"/>
    </w:rPr>
  </w:style>
  <w:style w:type="numbering" w:customStyle="1" w:styleId="WW8Num6">
    <w:name w:val="WW8Num6"/>
    <w:rsid w:val="005D79F7"/>
    <w:pPr>
      <w:numPr>
        <w:numId w:val="5"/>
      </w:numPr>
    </w:pPr>
  </w:style>
  <w:style w:type="character" w:customStyle="1" w:styleId="PiedepginaCar2">
    <w:name w:val="Pie de página Car2"/>
    <w:aliases w:val="pie de página Car1,Car Car1"/>
    <w:uiPriority w:val="99"/>
    <w:rsid w:val="005D79F7"/>
    <w:rPr>
      <w:rFonts w:ascii="Times New Roman" w:hAnsi="Times New Roman"/>
      <w:sz w:val="24"/>
      <w:lang w:val="es-ES"/>
    </w:rPr>
  </w:style>
  <w:style w:type="table" w:customStyle="1" w:styleId="Tablaconcuadrcula1">
    <w:name w:val="Tabla con cuadrícula1"/>
    <w:basedOn w:val="Tablanormal"/>
    <w:uiPriority w:val="39"/>
    <w:rsid w:val="005D79F7"/>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Aries,k"/>
    <w:link w:val="SinespaciadoCar"/>
    <w:uiPriority w:val="1"/>
    <w:qFormat/>
    <w:rsid w:val="005D79F7"/>
    <w:rPr>
      <w:sz w:val="22"/>
      <w:szCs w:val="22"/>
      <w:lang w:eastAsia="en-US"/>
    </w:rPr>
  </w:style>
  <w:style w:type="table" w:customStyle="1" w:styleId="TableNormal">
    <w:name w:val="Table Normal"/>
    <w:uiPriority w:val="2"/>
    <w:semiHidden/>
    <w:unhideWhenUsed/>
    <w:qFormat/>
    <w:rsid w:val="005D79F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SinespaciadoCar">
    <w:name w:val="Sin espaciado Car"/>
    <w:aliases w:val="Aries Car,k Car"/>
    <w:link w:val="Sinespaciado"/>
    <w:uiPriority w:val="1"/>
    <w:rsid w:val="005D79F7"/>
    <w:rPr>
      <w:rFonts w:ascii="Calibri" w:eastAsia="Calibri" w:hAnsi="Calibri" w:cs="Times New Roman"/>
      <w:kern w:val="0"/>
    </w:rPr>
  </w:style>
  <w:style w:type="paragraph" w:styleId="Asuntodelcomentario">
    <w:name w:val="annotation subject"/>
    <w:basedOn w:val="Textocomentario"/>
    <w:next w:val="Textocomentario"/>
    <w:link w:val="AsuntodelcomentarioCar"/>
    <w:uiPriority w:val="99"/>
    <w:semiHidden/>
    <w:unhideWhenUsed/>
    <w:rsid w:val="005D79F7"/>
    <w:pPr>
      <w:suppressAutoHyphens w:val="0"/>
      <w:spacing w:after="160"/>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5D79F7"/>
    <w:rPr>
      <w:rFonts w:ascii="Calibri" w:eastAsia="Calibri" w:hAnsi="Calibri" w:cs="Times New Roman"/>
      <w:b/>
      <w:bCs/>
      <w:kern w:val="0"/>
      <w:sz w:val="20"/>
      <w:szCs w:val="20"/>
      <w:lang w:val="es-ES" w:eastAsia="ar-SA"/>
    </w:rPr>
  </w:style>
  <w:style w:type="paragraph" w:styleId="Revisin">
    <w:name w:val="Revision"/>
    <w:hidden/>
    <w:uiPriority w:val="99"/>
    <w:semiHidden/>
    <w:rsid w:val="005D79F7"/>
    <w:rPr>
      <w:sz w:val="22"/>
      <w:szCs w:val="22"/>
      <w:lang w:eastAsia="en-US"/>
    </w:rPr>
  </w:style>
  <w:style w:type="paragraph" w:customStyle="1" w:styleId="Captulo9">
    <w:name w:val="Capítulo 9"/>
    <w:basedOn w:val="Normal"/>
    <w:rsid w:val="005D79F7"/>
    <w:pPr>
      <w:numPr>
        <w:numId w:val="6"/>
      </w:numPr>
      <w:spacing w:after="0" w:line="240" w:lineRule="auto"/>
      <w:ind w:left="720"/>
      <w:jc w:val="both"/>
    </w:pPr>
    <w:rPr>
      <w:kern w:val="0"/>
      <w:sz w:val="20"/>
      <w:lang w:val="es-MX"/>
    </w:rPr>
  </w:style>
  <w:style w:type="character" w:customStyle="1" w:styleId="valor">
    <w:name w:val="valor"/>
    <w:rsid w:val="005D79F7"/>
  </w:style>
  <w:style w:type="paragraph" w:customStyle="1" w:styleId="InviasNormal">
    <w:name w:val="Invias Normal"/>
    <w:basedOn w:val="Normal"/>
    <w:link w:val="InviasNormalCar"/>
    <w:qFormat/>
    <w:rsid w:val="005D79F7"/>
    <w:pPr>
      <w:tabs>
        <w:tab w:val="left" w:pos="-142"/>
      </w:tabs>
      <w:autoSpaceDE w:val="0"/>
      <w:autoSpaceDN w:val="0"/>
      <w:adjustRightInd w:val="0"/>
      <w:spacing w:before="120" w:after="240" w:line="240" w:lineRule="auto"/>
    </w:pPr>
    <w:rPr>
      <w:rFonts w:ascii="Arial Narrow" w:eastAsia="Times New Roman" w:hAnsi="Arial Narrow"/>
      <w:sz w:val="24"/>
      <w:szCs w:val="24"/>
      <w:lang w:val="x-none" w:eastAsia="es-ES"/>
    </w:rPr>
  </w:style>
  <w:style w:type="character" w:customStyle="1" w:styleId="InviasNormalCar">
    <w:name w:val="Invias Normal Car"/>
    <w:link w:val="InviasNormal"/>
    <w:locked/>
    <w:rsid w:val="005D79F7"/>
    <w:rPr>
      <w:rFonts w:ascii="Arial Narrow" w:eastAsia="Times New Roman" w:hAnsi="Arial Narrow" w:cs="Times New Roman"/>
      <w:sz w:val="24"/>
      <w:szCs w:val="24"/>
      <w:lang w:val="x-none" w:eastAsia="es-ES"/>
    </w:rPr>
  </w:style>
  <w:style w:type="paragraph" w:customStyle="1" w:styleId="BodyText22">
    <w:name w:val="Body Text 22"/>
    <w:basedOn w:val="Normal"/>
    <w:rsid w:val="005D79F7"/>
    <w:pPr>
      <w:widowControl w:val="0"/>
      <w:suppressAutoHyphens/>
      <w:spacing w:after="0" w:line="240" w:lineRule="auto"/>
      <w:jc w:val="both"/>
    </w:pPr>
    <w:rPr>
      <w:rFonts w:ascii="Arial" w:eastAsia="Times New Roman" w:hAnsi="Arial"/>
      <w:sz w:val="24"/>
      <w:szCs w:val="24"/>
      <w:lang w:val="es-ES_tradnl" w:eastAsia="ar-SA"/>
    </w:rPr>
  </w:style>
  <w:style w:type="paragraph" w:customStyle="1" w:styleId="Char2">
    <w:name w:val="Char2"/>
    <w:basedOn w:val="Normal"/>
    <w:link w:val="Refdenotaalpie"/>
    <w:uiPriority w:val="99"/>
    <w:rsid w:val="005D79F7"/>
    <w:pPr>
      <w:autoSpaceDE w:val="0"/>
      <w:autoSpaceDN w:val="0"/>
      <w:spacing w:line="240" w:lineRule="exact"/>
    </w:pPr>
    <w:rPr>
      <w:vertAlign w:val="superscript"/>
    </w:rPr>
  </w:style>
  <w:style w:type="character" w:styleId="nfasis">
    <w:name w:val="Emphasis"/>
    <w:uiPriority w:val="20"/>
    <w:qFormat/>
    <w:rsid w:val="005D79F7"/>
    <w:rPr>
      <w:i/>
      <w:iCs/>
    </w:rPr>
  </w:style>
  <w:style w:type="paragraph" w:styleId="Bibliografa">
    <w:name w:val="Bibliography"/>
    <w:basedOn w:val="Normal"/>
    <w:next w:val="Normal"/>
    <w:link w:val="BibliografaCar"/>
    <w:uiPriority w:val="37"/>
    <w:unhideWhenUsed/>
    <w:rsid w:val="005D79F7"/>
  </w:style>
  <w:style w:type="paragraph" w:customStyle="1" w:styleId="font5">
    <w:name w:val="font5"/>
    <w:basedOn w:val="Normal"/>
    <w:rsid w:val="005D79F7"/>
    <w:pPr>
      <w:spacing w:before="100" w:beforeAutospacing="1" w:after="100" w:afterAutospacing="1" w:line="240" w:lineRule="auto"/>
    </w:pPr>
    <w:rPr>
      <w:rFonts w:eastAsia="Times New Roman" w:cs="Calibri"/>
      <w:b/>
      <w:bCs/>
      <w:kern w:val="0"/>
      <w:lang w:eastAsia="es-CO"/>
    </w:rPr>
  </w:style>
  <w:style w:type="paragraph" w:customStyle="1" w:styleId="font6">
    <w:name w:val="font6"/>
    <w:basedOn w:val="Normal"/>
    <w:rsid w:val="005D79F7"/>
    <w:pPr>
      <w:spacing w:before="100" w:beforeAutospacing="1" w:after="100" w:afterAutospacing="1" w:line="240" w:lineRule="auto"/>
    </w:pPr>
    <w:rPr>
      <w:rFonts w:eastAsia="Times New Roman" w:cs="Calibri"/>
      <w:kern w:val="0"/>
      <w:lang w:eastAsia="es-CO"/>
    </w:rPr>
  </w:style>
  <w:style w:type="paragraph" w:customStyle="1" w:styleId="font7">
    <w:name w:val="font7"/>
    <w:basedOn w:val="Normal"/>
    <w:rsid w:val="005D79F7"/>
    <w:pPr>
      <w:spacing w:before="100" w:beforeAutospacing="1" w:after="100" w:afterAutospacing="1" w:line="240" w:lineRule="auto"/>
    </w:pPr>
    <w:rPr>
      <w:rFonts w:eastAsia="Times New Roman" w:cs="Calibri"/>
      <w:kern w:val="0"/>
      <w:lang w:eastAsia="es-CO"/>
    </w:rPr>
  </w:style>
  <w:style w:type="paragraph" w:customStyle="1" w:styleId="font8">
    <w:name w:val="font8"/>
    <w:basedOn w:val="Normal"/>
    <w:rsid w:val="005D79F7"/>
    <w:pPr>
      <w:spacing w:before="100" w:beforeAutospacing="1" w:after="100" w:afterAutospacing="1" w:line="240" w:lineRule="auto"/>
    </w:pPr>
    <w:rPr>
      <w:rFonts w:eastAsia="Times New Roman" w:cs="Calibri"/>
      <w:kern w:val="0"/>
      <w:u w:val="single"/>
      <w:lang w:eastAsia="es-CO"/>
    </w:rPr>
  </w:style>
  <w:style w:type="paragraph" w:customStyle="1" w:styleId="font9">
    <w:name w:val="font9"/>
    <w:basedOn w:val="Normal"/>
    <w:rsid w:val="005D79F7"/>
    <w:pPr>
      <w:spacing w:before="100" w:beforeAutospacing="1" w:after="100" w:afterAutospacing="1" w:line="240" w:lineRule="auto"/>
    </w:pPr>
    <w:rPr>
      <w:rFonts w:eastAsia="Times New Roman" w:cs="Calibri"/>
      <w:b/>
      <w:bCs/>
      <w:kern w:val="0"/>
      <w:u w:val="single"/>
      <w:lang w:eastAsia="es-CO"/>
    </w:rPr>
  </w:style>
  <w:style w:type="paragraph" w:customStyle="1" w:styleId="xl64">
    <w:name w:val="xl64"/>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kern w:val="0"/>
      <w:sz w:val="24"/>
      <w:szCs w:val="24"/>
      <w:lang w:eastAsia="es-CO"/>
    </w:rPr>
  </w:style>
  <w:style w:type="paragraph" w:customStyle="1" w:styleId="xl65">
    <w:name w:val="xl65"/>
    <w:basedOn w:val="Normal"/>
    <w:rsid w:val="005D79F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b/>
      <w:bCs/>
      <w:kern w:val="0"/>
      <w:sz w:val="24"/>
      <w:szCs w:val="24"/>
      <w:lang w:eastAsia="es-CO"/>
    </w:rPr>
  </w:style>
  <w:style w:type="paragraph" w:customStyle="1" w:styleId="xl66">
    <w:name w:val="xl66"/>
    <w:basedOn w:val="Normal"/>
    <w:rsid w:val="005D79F7"/>
    <w:pPr>
      <w:spacing w:before="100" w:beforeAutospacing="1" w:after="100" w:afterAutospacing="1" w:line="240" w:lineRule="auto"/>
      <w:jc w:val="center"/>
      <w:textAlignment w:val="center"/>
    </w:pPr>
    <w:rPr>
      <w:rFonts w:ascii="Arial Narrow" w:eastAsia="Times New Roman" w:hAnsi="Arial Narrow"/>
      <w:kern w:val="0"/>
      <w:sz w:val="24"/>
      <w:szCs w:val="24"/>
      <w:lang w:eastAsia="es-CO"/>
    </w:rPr>
  </w:style>
  <w:style w:type="paragraph" w:customStyle="1" w:styleId="xl67">
    <w:name w:val="xl67"/>
    <w:basedOn w:val="Normal"/>
    <w:rsid w:val="005D79F7"/>
    <w:pPr>
      <w:spacing w:before="100" w:beforeAutospacing="1" w:after="100" w:afterAutospacing="1" w:line="240" w:lineRule="auto"/>
      <w:jc w:val="center"/>
      <w:textAlignment w:val="center"/>
    </w:pPr>
    <w:rPr>
      <w:rFonts w:ascii="Arial Narrow" w:eastAsia="Times New Roman" w:hAnsi="Arial Narrow"/>
      <w:kern w:val="0"/>
      <w:sz w:val="24"/>
      <w:szCs w:val="24"/>
      <w:lang w:eastAsia="es-CO"/>
    </w:rPr>
  </w:style>
  <w:style w:type="paragraph" w:customStyle="1" w:styleId="xl68">
    <w:name w:val="xl68"/>
    <w:basedOn w:val="Normal"/>
    <w:rsid w:val="005D79F7"/>
    <w:pPr>
      <w:spacing w:before="100" w:beforeAutospacing="1" w:after="100" w:afterAutospacing="1" w:line="240" w:lineRule="auto"/>
      <w:jc w:val="center"/>
      <w:textAlignment w:val="center"/>
    </w:pPr>
    <w:rPr>
      <w:rFonts w:ascii="Arial Narrow" w:eastAsia="Times New Roman" w:hAnsi="Arial Narrow"/>
      <w:b/>
      <w:bCs/>
      <w:color w:val="FF0000"/>
      <w:kern w:val="0"/>
      <w:sz w:val="24"/>
      <w:szCs w:val="24"/>
      <w:lang w:eastAsia="es-CO"/>
    </w:rPr>
  </w:style>
  <w:style w:type="paragraph" w:customStyle="1" w:styleId="xl69">
    <w:name w:val="xl69"/>
    <w:basedOn w:val="Normal"/>
    <w:rsid w:val="005D79F7"/>
    <w:pPr>
      <w:shd w:val="clear" w:color="000000" w:fill="FFFFFF"/>
      <w:spacing w:before="100" w:beforeAutospacing="1" w:after="100" w:afterAutospacing="1" w:line="240" w:lineRule="auto"/>
      <w:jc w:val="center"/>
      <w:textAlignment w:val="center"/>
    </w:pPr>
    <w:rPr>
      <w:rFonts w:ascii="Arial Narrow" w:eastAsia="Times New Roman" w:hAnsi="Arial Narrow"/>
      <w:kern w:val="0"/>
      <w:sz w:val="24"/>
      <w:szCs w:val="24"/>
      <w:lang w:eastAsia="es-CO"/>
    </w:rPr>
  </w:style>
  <w:style w:type="paragraph" w:customStyle="1" w:styleId="xl70">
    <w:name w:val="xl70"/>
    <w:basedOn w:val="Normal"/>
    <w:rsid w:val="005D79F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b/>
      <w:bCs/>
      <w:kern w:val="0"/>
      <w:sz w:val="24"/>
      <w:szCs w:val="24"/>
      <w:lang w:eastAsia="es-CO"/>
    </w:rPr>
  </w:style>
  <w:style w:type="paragraph" w:customStyle="1" w:styleId="xl71">
    <w:name w:val="xl71"/>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72">
    <w:name w:val="xl72"/>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kern w:val="0"/>
      <w:sz w:val="24"/>
      <w:szCs w:val="24"/>
      <w:lang w:eastAsia="es-CO"/>
    </w:rPr>
  </w:style>
  <w:style w:type="paragraph" w:customStyle="1" w:styleId="xl73">
    <w:name w:val="xl73"/>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74">
    <w:name w:val="xl74"/>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kern w:val="0"/>
      <w:sz w:val="24"/>
      <w:szCs w:val="24"/>
      <w:lang w:eastAsia="es-CO"/>
    </w:rPr>
  </w:style>
  <w:style w:type="paragraph" w:customStyle="1" w:styleId="xl75">
    <w:name w:val="xl75"/>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76">
    <w:name w:val="xl76"/>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77">
    <w:name w:val="xl77"/>
    <w:basedOn w:val="Normal"/>
    <w:rsid w:val="005D79F7"/>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ascii="Times New Roman" w:eastAsia="Times New Roman" w:hAnsi="Times New Roman"/>
      <w:b/>
      <w:bCs/>
      <w:kern w:val="0"/>
      <w:sz w:val="24"/>
      <w:szCs w:val="24"/>
      <w:lang w:eastAsia="es-CO"/>
    </w:rPr>
  </w:style>
  <w:style w:type="paragraph" w:customStyle="1" w:styleId="xl78">
    <w:name w:val="xl78"/>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kern w:val="0"/>
      <w:sz w:val="24"/>
      <w:szCs w:val="24"/>
      <w:lang w:eastAsia="es-CO"/>
    </w:rPr>
  </w:style>
  <w:style w:type="paragraph" w:customStyle="1" w:styleId="xl79">
    <w:name w:val="xl79"/>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80">
    <w:name w:val="xl80"/>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kern w:val="0"/>
      <w:sz w:val="24"/>
      <w:szCs w:val="24"/>
      <w:u w:val="single"/>
      <w:lang w:eastAsia="es-CO"/>
    </w:rPr>
  </w:style>
  <w:style w:type="paragraph" w:customStyle="1" w:styleId="xl81">
    <w:name w:val="xl81"/>
    <w:basedOn w:val="Normal"/>
    <w:rsid w:val="005D79F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kern w:val="0"/>
      <w:sz w:val="24"/>
      <w:szCs w:val="24"/>
      <w:lang w:eastAsia="es-CO"/>
    </w:rPr>
  </w:style>
  <w:style w:type="paragraph" w:customStyle="1" w:styleId="xl82">
    <w:name w:val="xl82"/>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kern w:val="0"/>
      <w:sz w:val="24"/>
      <w:szCs w:val="24"/>
      <w:lang w:eastAsia="es-CO"/>
    </w:rPr>
  </w:style>
  <w:style w:type="paragraph" w:customStyle="1" w:styleId="xl83">
    <w:name w:val="xl83"/>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84">
    <w:name w:val="xl84"/>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kern w:val="0"/>
      <w:sz w:val="24"/>
      <w:szCs w:val="24"/>
      <w:lang w:eastAsia="es-CO"/>
    </w:rPr>
  </w:style>
  <w:style w:type="paragraph" w:customStyle="1" w:styleId="xl85">
    <w:name w:val="xl85"/>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kern w:val="0"/>
      <w:sz w:val="24"/>
      <w:szCs w:val="24"/>
      <w:lang w:eastAsia="es-CO"/>
    </w:rPr>
  </w:style>
  <w:style w:type="paragraph" w:customStyle="1" w:styleId="xl86">
    <w:name w:val="xl86"/>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kern w:val="0"/>
      <w:sz w:val="24"/>
      <w:szCs w:val="24"/>
      <w:lang w:eastAsia="es-CO"/>
    </w:rPr>
  </w:style>
  <w:style w:type="paragraph" w:customStyle="1" w:styleId="xl87">
    <w:name w:val="xl87"/>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kern w:val="0"/>
      <w:sz w:val="24"/>
      <w:szCs w:val="24"/>
      <w:lang w:eastAsia="es-CO"/>
    </w:rPr>
  </w:style>
  <w:style w:type="paragraph" w:customStyle="1" w:styleId="xl88">
    <w:name w:val="xl88"/>
    <w:basedOn w:val="Normal"/>
    <w:rsid w:val="005D79F7"/>
    <w:pPr>
      <w:pBdr>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b/>
      <w:bCs/>
      <w:kern w:val="0"/>
      <w:sz w:val="24"/>
      <w:szCs w:val="24"/>
      <w:lang w:eastAsia="es-CO"/>
    </w:rPr>
  </w:style>
  <w:style w:type="paragraph" w:customStyle="1" w:styleId="xl89">
    <w:name w:val="xl89"/>
    <w:basedOn w:val="Normal"/>
    <w:rsid w:val="005D79F7"/>
    <w:pPr>
      <w:pBdr>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b/>
      <w:bCs/>
      <w:kern w:val="0"/>
      <w:sz w:val="24"/>
      <w:szCs w:val="24"/>
      <w:lang w:eastAsia="es-CO"/>
    </w:rPr>
  </w:style>
  <w:style w:type="paragraph" w:customStyle="1" w:styleId="xl90">
    <w:name w:val="xl90"/>
    <w:basedOn w:val="Normal"/>
    <w:rsid w:val="005D79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kern w:val="0"/>
      <w:sz w:val="24"/>
      <w:szCs w:val="24"/>
      <w:lang w:eastAsia="es-CO"/>
    </w:rPr>
  </w:style>
  <w:style w:type="paragraph" w:customStyle="1" w:styleId="xl91">
    <w:name w:val="xl91"/>
    <w:basedOn w:val="Normal"/>
    <w:rsid w:val="005D79F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kern w:val="0"/>
      <w:sz w:val="24"/>
      <w:szCs w:val="24"/>
      <w:lang w:eastAsia="es-CO"/>
    </w:rPr>
  </w:style>
  <w:style w:type="paragraph" w:customStyle="1" w:styleId="xl92">
    <w:name w:val="xl92"/>
    <w:basedOn w:val="Normal"/>
    <w:rsid w:val="005D79F7"/>
    <w:pPr>
      <w:pBdr>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b/>
      <w:bCs/>
      <w:kern w:val="0"/>
      <w:sz w:val="24"/>
      <w:szCs w:val="24"/>
      <w:lang w:eastAsia="es-CO"/>
    </w:rPr>
  </w:style>
  <w:style w:type="paragraph" w:customStyle="1" w:styleId="xl93">
    <w:name w:val="xl93"/>
    <w:basedOn w:val="Normal"/>
    <w:rsid w:val="005D79F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b/>
      <w:bCs/>
      <w:kern w:val="0"/>
      <w:sz w:val="24"/>
      <w:szCs w:val="24"/>
      <w:lang w:eastAsia="es-CO"/>
    </w:rPr>
  </w:style>
  <w:style w:type="paragraph" w:customStyle="1" w:styleId="xl94">
    <w:name w:val="xl94"/>
    <w:basedOn w:val="Normal"/>
    <w:rsid w:val="005D79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both"/>
      <w:textAlignment w:val="center"/>
    </w:pPr>
    <w:rPr>
      <w:rFonts w:ascii="Arial" w:eastAsia="Times New Roman" w:hAnsi="Arial" w:cs="Arial"/>
      <w:b/>
      <w:bCs/>
      <w:kern w:val="0"/>
      <w:sz w:val="20"/>
      <w:szCs w:val="20"/>
      <w:lang w:eastAsia="es-CO"/>
    </w:rPr>
  </w:style>
  <w:style w:type="paragraph" w:customStyle="1" w:styleId="xl95">
    <w:name w:val="xl95"/>
    <w:basedOn w:val="Normal"/>
    <w:rsid w:val="005D79F7"/>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kern w:val="0"/>
      <w:sz w:val="24"/>
      <w:szCs w:val="24"/>
      <w:lang w:eastAsia="es-CO"/>
    </w:rPr>
  </w:style>
  <w:style w:type="paragraph" w:customStyle="1" w:styleId="xl96">
    <w:name w:val="xl96"/>
    <w:basedOn w:val="Normal"/>
    <w:rsid w:val="005D79F7"/>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kern w:val="0"/>
      <w:sz w:val="24"/>
      <w:szCs w:val="24"/>
      <w:lang w:eastAsia="es-CO"/>
    </w:rPr>
  </w:style>
  <w:style w:type="paragraph" w:customStyle="1" w:styleId="xl97">
    <w:name w:val="xl97"/>
    <w:basedOn w:val="Normal"/>
    <w:rsid w:val="005D79F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kern w:val="0"/>
      <w:sz w:val="24"/>
      <w:szCs w:val="24"/>
      <w:lang w:eastAsia="es-CO"/>
    </w:rPr>
  </w:style>
  <w:style w:type="paragraph" w:customStyle="1" w:styleId="xl98">
    <w:name w:val="xl98"/>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kern w:val="0"/>
      <w:sz w:val="24"/>
      <w:szCs w:val="24"/>
      <w:lang w:eastAsia="es-CO"/>
    </w:rPr>
  </w:style>
  <w:style w:type="paragraph" w:customStyle="1" w:styleId="xl99">
    <w:name w:val="xl99"/>
    <w:basedOn w:val="Normal"/>
    <w:rsid w:val="005D79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kern w:val="0"/>
      <w:sz w:val="24"/>
      <w:szCs w:val="24"/>
      <w:lang w:eastAsia="es-CO"/>
    </w:rPr>
  </w:style>
  <w:style w:type="character" w:customStyle="1" w:styleId="titulo">
    <w:name w:val="titulo"/>
    <w:rsid w:val="005D79F7"/>
  </w:style>
  <w:style w:type="paragraph" w:styleId="Textonotaalfinal">
    <w:name w:val="endnote text"/>
    <w:basedOn w:val="Normal"/>
    <w:link w:val="TextonotaalfinalCar"/>
    <w:uiPriority w:val="99"/>
    <w:semiHidden/>
    <w:unhideWhenUsed/>
    <w:rsid w:val="005D79F7"/>
    <w:rPr>
      <w:sz w:val="20"/>
      <w:szCs w:val="20"/>
    </w:rPr>
  </w:style>
  <w:style w:type="character" w:customStyle="1" w:styleId="TextonotaalfinalCar">
    <w:name w:val="Texto nota al final Car"/>
    <w:link w:val="Textonotaalfinal"/>
    <w:uiPriority w:val="99"/>
    <w:semiHidden/>
    <w:rsid w:val="005D79F7"/>
    <w:rPr>
      <w:rFonts w:ascii="Calibri" w:eastAsia="Calibri" w:hAnsi="Calibri" w:cs="Times New Roman"/>
      <w:sz w:val="20"/>
      <w:szCs w:val="20"/>
    </w:rPr>
  </w:style>
  <w:style w:type="character" w:styleId="Refdenotaalfinal">
    <w:name w:val="endnote reference"/>
    <w:uiPriority w:val="99"/>
    <w:semiHidden/>
    <w:unhideWhenUsed/>
    <w:rsid w:val="005D79F7"/>
    <w:rPr>
      <w:vertAlign w:val="superscript"/>
    </w:rPr>
  </w:style>
  <w:style w:type="table" w:customStyle="1" w:styleId="Tablaconcuadrcula21">
    <w:name w:val="Tabla con cuadrícula21"/>
    <w:basedOn w:val="Tablanormal"/>
    <w:uiPriority w:val="59"/>
    <w:rsid w:val="005D79F7"/>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39"/>
    <w:rsid w:val="005D79F7"/>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elementtoproof">
    <w:name w:val="x_elementtoproof"/>
    <w:rsid w:val="005D79F7"/>
  </w:style>
  <w:style w:type="paragraph" w:customStyle="1" w:styleId="xelementtoproof1">
    <w:name w:val="x_elementtoproof1"/>
    <w:basedOn w:val="Normal"/>
    <w:rsid w:val="005D79F7"/>
    <w:pPr>
      <w:spacing w:before="100" w:beforeAutospacing="1" w:after="100" w:afterAutospacing="1" w:line="240" w:lineRule="auto"/>
    </w:pPr>
    <w:rPr>
      <w:rFonts w:ascii="Times New Roman" w:eastAsia="Times New Roman" w:hAnsi="Times New Roman"/>
      <w:kern w:val="0"/>
      <w:sz w:val="24"/>
      <w:szCs w:val="24"/>
      <w:lang w:eastAsia="es-CO"/>
    </w:rPr>
  </w:style>
  <w:style w:type="character" w:customStyle="1" w:styleId="Mencinsinresolver2">
    <w:name w:val="Mención sin resolver2"/>
    <w:uiPriority w:val="99"/>
    <w:semiHidden/>
    <w:unhideWhenUsed/>
    <w:rsid w:val="005D79F7"/>
    <w:rPr>
      <w:color w:val="605E5C"/>
      <w:shd w:val="clear" w:color="auto" w:fill="E1DFDD"/>
    </w:rPr>
  </w:style>
  <w:style w:type="paragraph" w:styleId="Ttulo">
    <w:name w:val="Title"/>
    <w:aliases w:val="Título 3 CCE"/>
    <w:basedOn w:val="Ttulo3"/>
    <w:next w:val="Normal"/>
    <w:link w:val="TtuloCar"/>
    <w:uiPriority w:val="10"/>
    <w:qFormat/>
    <w:rsid w:val="005D79F7"/>
    <w:pPr>
      <w:spacing w:before="120" w:line="240" w:lineRule="auto"/>
      <w:ind w:left="720" w:hanging="720"/>
      <w:contextualSpacing/>
      <w:jc w:val="both"/>
    </w:pPr>
    <w:rPr>
      <w:rFonts w:ascii="Arial Nova" w:eastAsia="MS Gothic" w:hAnsi="Arial Nova"/>
      <w:color w:val="1D1B11"/>
      <w:spacing w:val="5"/>
      <w:kern w:val="28"/>
      <w:szCs w:val="52"/>
    </w:rPr>
  </w:style>
  <w:style w:type="character" w:customStyle="1" w:styleId="TtuloCar">
    <w:name w:val="Título Car"/>
    <w:aliases w:val="Título 3 CCE Car"/>
    <w:link w:val="Ttulo"/>
    <w:uiPriority w:val="10"/>
    <w:rsid w:val="005D79F7"/>
    <w:rPr>
      <w:rFonts w:ascii="Arial Nova" w:eastAsia="MS Gothic" w:hAnsi="Arial Nova" w:cs="Times New Roman"/>
      <w:b/>
      <w:bCs/>
      <w:color w:val="1D1B11"/>
      <w:spacing w:val="5"/>
      <w:kern w:val="28"/>
      <w:szCs w:val="52"/>
    </w:rPr>
  </w:style>
  <w:style w:type="paragraph" w:customStyle="1" w:styleId="Titulo-4">
    <w:name w:val="Titulo -4"/>
    <w:basedOn w:val="Ttulo4"/>
    <w:next w:val="Normal"/>
    <w:autoRedefine/>
    <w:qFormat/>
    <w:rsid w:val="005D79F7"/>
    <w:pPr>
      <w:spacing w:before="120" w:line="240" w:lineRule="auto"/>
      <w:ind w:left="1080" w:hanging="1080"/>
      <w:contextualSpacing/>
      <w:jc w:val="both"/>
    </w:pPr>
    <w:rPr>
      <w:rFonts w:ascii="Arial" w:eastAsia="MS Gothic" w:hAnsi="Arial"/>
      <w:i w:val="0"/>
      <w:iCs w:val="0"/>
      <w:color w:val="auto"/>
      <w:kern w:val="0"/>
      <w:szCs w:val="20"/>
      <w:lang w:val="es-ES_tradnl" w:eastAsia="es-ES"/>
    </w:rPr>
  </w:style>
  <w:style w:type="table" w:customStyle="1" w:styleId="Cuadrculadetablaclara1">
    <w:name w:val="Cuadrícula de tabla clara1"/>
    <w:basedOn w:val="Tablanormal"/>
    <w:next w:val="Tablaconcuadrculaclara"/>
    <w:uiPriority w:val="99"/>
    <w:rsid w:val="005D79F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5D79F7"/>
    <w:rPr>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DC4">
    <w:name w:val="toc 4"/>
    <w:basedOn w:val="Normal"/>
    <w:next w:val="Normal"/>
    <w:autoRedefine/>
    <w:uiPriority w:val="39"/>
    <w:unhideWhenUsed/>
    <w:rsid w:val="005D79F7"/>
    <w:pPr>
      <w:spacing w:after="100"/>
      <w:ind w:left="660"/>
    </w:pPr>
    <w:rPr>
      <w:rFonts w:eastAsia="Times New Roman"/>
      <w:lang w:eastAsia="es-CO"/>
    </w:rPr>
  </w:style>
  <w:style w:type="paragraph" w:styleId="TDC5">
    <w:name w:val="toc 5"/>
    <w:basedOn w:val="Normal"/>
    <w:next w:val="Normal"/>
    <w:autoRedefine/>
    <w:uiPriority w:val="39"/>
    <w:unhideWhenUsed/>
    <w:rsid w:val="005D79F7"/>
    <w:pPr>
      <w:spacing w:after="100"/>
      <w:ind w:left="880"/>
    </w:pPr>
    <w:rPr>
      <w:rFonts w:eastAsia="Times New Roman"/>
      <w:lang w:eastAsia="es-CO"/>
    </w:rPr>
  </w:style>
  <w:style w:type="paragraph" w:styleId="TDC6">
    <w:name w:val="toc 6"/>
    <w:basedOn w:val="Normal"/>
    <w:next w:val="Normal"/>
    <w:autoRedefine/>
    <w:uiPriority w:val="39"/>
    <w:unhideWhenUsed/>
    <w:rsid w:val="005D79F7"/>
    <w:pPr>
      <w:spacing w:after="100"/>
      <w:ind w:left="1100"/>
    </w:pPr>
    <w:rPr>
      <w:rFonts w:eastAsia="Times New Roman"/>
      <w:lang w:eastAsia="es-CO"/>
    </w:rPr>
  </w:style>
  <w:style w:type="paragraph" w:styleId="TDC7">
    <w:name w:val="toc 7"/>
    <w:basedOn w:val="Normal"/>
    <w:next w:val="Normal"/>
    <w:autoRedefine/>
    <w:uiPriority w:val="39"/>
    <w:unhideWhenUsed/>
    <w:rsid w:val="005D79F7"/>
    <w:pPr>
      <w:spacing w:after="100"/>
      <w:ind w:left="1320"/>
    </w:pPr>
    <w:rPr>
      <w:rFonts w:eastAsia="Times New Roman"/>
      <w:lang w:eastAsia="es-CO"/>
    </w:rPr>
  </w:style>
  <w:style w:type="paragraph" w:styleId="TDC8">
    <w:name w:val="toc 8"/>
    <w:basedOn w:val="Normal"/>
    <w:next w:val="Normal"/>
    <w:autoRedefine/>
    <w:uiPriority w:val="39"/>
    <w:unhideWhenUsed/>
    <w:rsid w:val="005D79F7"/>
    <w:pPr>
      <w:spacing w:after="100"/>
      <w:ind w:left="1540"/>
    </w:pPr>
    <w:rPr>
      <w:rFonts w:eastAsia="Times New Roman"/>
      <w:lang w:eastAsia="es-CO"/>
    </w:rPr>
  </w:style>
  <w:style w:type="paragraph" w:styleId="TDC9">
    <w:name w:val="toc 9"/>
    <w:basedOn w:val="Normal"/>
    <w:next w:val="Normal"/>
    <w:autoRedefine/>
    <w:uiPriority w:val="39"/>
    <w:unhideWhenUsed/>
    <w:rsid w:val="005D79F7"/>
    <w:pPr>
      <w:spacing w:after="100"/>
      <w:ind w:left="1760"/>
    </w:pPr>
    <w:rPr>
      <w:rFonts w:eastAsia="Times New Roman"/>
      <w:lang w:eastAsia="es-CO"/>
    </w:rPr>
  </w:style>
  <w:style w:type="character" w:customStyle="1" w:styleId="BibliografaCar">
    <w:name w:val="Bibliografía Car"/>
    <w:link w:val="Bibliografa"/>
    <w:uiPriority w:val="37"/>
    <w:rsid w:val="005D79F7"/>
    <w:rPr>
      <w:rFonts w:ascii="Calibri" w:eastAsia="Calibri" w:hAnsi="Calibri" w:cs="Times New Roman"/>
    </w:rPr>
  </w:style>
  <w:style w:type="table" w:customStyle="1" w:styleId="TableGrid0">
    <w:name w:val="Table Grid0"/>
    <w:rsid w:val="005D79F7"/>
    <w:rPr>
      <w:rFonts w:eastAsia="Times New Roman"/>
      <w:sz w:val="22"/>
      <w:szCs w:val="22"/>
      <w:lang w:eastAsia="es-CO"/>
    </w:rPr>
    <w:tblPr>
      <w:tblCellMar>
        <w:top w:w="0" w:type="dxa"/>
        <w:left w:w="0" w:type="dxa"/>
        <w:bottom w:w="0" w:type="dxa"/>
        <w:right w:w="0" w:type="dxa"/>
      </w:tblCellMar>
    </w:tblPr>
  </w:style>
  <w:style w:type="table" w:customStyle="1" w:styleId="NormalTable1">
    <w:name w:val="Normal Table1"/>
    <w:uiPriority w:val="2"/>
    <w:semiHidden/>
    <w:unhideWhenUsed/>
    <w:qFormat/>
    <w:rsid w:val="005D79F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markedcontent">
    <w:name w:val="markedcontent"/>
    <w:rsid w:val="005D79F7"/>
  </w:style>
  <w:style w:type="table" w:customStyle="1" w:styleId="NormalTable00">
    <w:name w:val="Normal Table00"/>
    <w:uiPriority w:val="2"/>
    <w:semiHidden/>
    <w:unhideWhenUsed/>
    <w:qFormat/>
    <w:rsid w:val="005D79F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NormalTable2">
    <w:name w:val="Normal Table2"/>
    <w:uiPriority w:val="2"/>
    <w:semiHidden/>
    <w:unhideWhenUsed/>
    <w:qFormat/>
    <w:rsid w:val="005D79F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styleId="Tablaconcuadrcula3-nfasis1">
    <w:name w:val="Grid Table 3 Accent 1"/>
    <w:basedOn w:val="Tablanormal"/>
    <w:uiPriority w:val="48"/>
    <w:rsid w:val="005D79F7"/>
    <w:rPr>
      <w:lang w:val="es-MX"/>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character" w:customStyle="1" w:styleId="xcontentpasted1">
    <w:name w:val="x_contentpasted1"/>
    <w:rsid w:val="002C1AD3"/>
  </w:style>
  <w:style w:type="paragraph" w:customStyle="1" w:styleId="xmsobodytext">
    <w:name w:val="x_msobodytext"/>
    <w:basedOn w:val="Normal"/>
    <w:rsid w:val="002C1AD3"/>
    <w:pPr>
      <w:spacing w:before="100" w:beforeAutospacing="1" w:after="100" w:afterAutospacing="1" w:line="240" w:lineRule="auto"/>
    </w:pPr>
    <w:rPr>
      <w:rFonts w:ascii="Times New Roman" w:eastAsia="Times New Roman" w:hAnsi="Times New Roman"/>
      <w:kern w:val="0"/>
      <w:sz w:val="24"/>
      <w:szCs w:val="24"/>
      <w:lang w:eastAsia="es-CO"/>
    </w:rPr>
  </w:style>
  <w:style w:type="paragraph" w:customStyle="1" w:styleId="Refdenotaalpie0">
    <w:name w:val="Ref. de nota al pie."/>
    <w:aliases w:val="Appel note de bas de..."/>
    <w:basedOn w:val="Normal"/>
    <w:uiPriority w:val="99"/>
    <w:rsid w:val="003F0897"/>
    <w:pPr>
      <w:spacing w:after="0" w:line="240" w:lineRule="exact"/>
      <w:jc w:val="both"/>
    </w:pPr>
    <w:rPr>
      <w:rFonts w:cs="Arial"/>
      <w:kern w:val="0"/>
      <w:vertAlign w:val="superscript"/>
      <w:lang w:val="es-MX"/>
    </w:rPr>
  </w:style>
  <w:style w:type="character" w:customStyle="1" w:styleId="font181">
    <w:name w:val="font181"/>
    <w:rsid w:val="00F500AF"/>
    <w:rPr>
      <w:rFonts w:ascii="Arial MT" w:hAnsi="Arial MT" w:hint="default"/>
      <w:b w:val="0"/>
      <w:bCs w:val="0"/>
      <w:i w:val="0"/>
      <w:iCs w:val="0"/>
      <w:strike w:val="0"/>
      <w:dstrike w:val="0"/>
      <w:color w:val="auto"/>
      <w:sz w:val="24"/>
      <w:szCs w:val="24"/>
      <w:u w:val="none"/>
      <w:effect w:val="none"/>
    </w:rPr>
  </w:style>
  <w:style w:type="character" w:customStyle="1" w:styleId="Mencinsinresolver3">
    <w:name w:val="Mención sin resolver3"/>
    <w:basedOn w:val="Fuentedeprrafopredeter"/>
    <w:uiPriority w:val="99"/>
    <w:semiHidden/>
    <w:unhideWhenUsed/>
    <w:rsid w:val="00B05AE2"/>
    <w:rPr>
      <w:color w:val="605E5C"/>
      <w:shd w:val="clear" w:color="auto" w:fill="E1DFDD"/>
    </w:rPr>
  </w:style>
  <w:style w:type="character" w:styleId="Mencinsinresolver">
    <w:name w:val="Unresolved Mention"/>
    <w:basedOn w:val="Fuentedeprrafopredeter"/>
    <w:uiPriority w:val="99"/>
    <w:semiHidden/>
    <w:unhideWhenUsed/>
    <w:rsid w:val="002D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338">
      <w:bodyDiv w:val="1"/>
      <w:marLeft w:val="0"/>
      <w:marRight w:val="0"/>
      <w:marTop w:val="0"/>
      <w:marBottom w:val="0"/>
      <w:divBdr>
        <w:top w:val="none" w:sz="0" w:space="0" w:color="auto"/>
        <w:left w:val="none" w:sz="0" w:space="0" w:color="auto"/>
        <w:bottom w:val="none" w:sz="0" w:space="0" w:color="auto"/>
        <w:right w:val="none" w:sz="0" w:space="0" w:color="auto"/>
      </w:divBdr>
    </w:div>
    <w:div w:id="65418378">
      <w:bodyDiv w:val="1"/>
      <w:marLeft w:val="0"/>
      <w:marRight w:val="0"/>
      <w:marTop w:val="0"/>
      <w:marBottom w:val="0"/>
      <w:divBdr>
        <w:top w:val="none" w:sz="0" w:space="0" w:color="auto"/>
        <w:left w:val="none" w:sz="0" w:space="0" w:color="auto"/>
        <w:bottom w:val="none" w:sz="0" w:space="0" w:color="auto"/>
        <w:right w:val="none" w:sz="0" w:space="0" w:color="auto"/>
      </w:divBdr>
    </w:div>
    <w:div w:id="79061111">
      <w:bodyDiv w:val="1"/>
      <w:marLeft w:val="0"/>
      <w:marRight w:val="0"/>
      <w:marTop w:val="0"/>
      <w:marBottom w:val="0"/>
      <w:divBdr>
        <w:top w:val="none" w:sz="0" w:space="0" w:color="auto"/>
        <w:left w:val="none" w:sz="0" w:space="0" w:color="auto"/>
        <w:bottom w:val="none" w:sz="0" w:space="0" w:color="auto"/>
        <w:right w:val="none" w:sz="0" w:space="0" w:color="auto"/>
      </w:divBdr>
    </w:div>
    <w:div w:id="117722710">
      <w:bodyDiv w:val="1"/>
      <w:marLeft w:val="0"/>
      <w:marRight w:val="0"/>
      <w:marTop w:val="0"/>
      <w:marBottom w:val="0"/>
      <w:divBdr>
        <w:top w:val="none" w:sz="0" w:space="0" w:color="auto"/>
        <w:left w:val="none" w:sz="0" w:space="0" w:color="auto"/>
        <w:bottom w:val="none" w:sz="0" w:space="0" w:color="auto"/>
        <w:right w:val="none" w:sz="0" w:space="0" w:color="auto"/>
      </w:divBdr>
    </w:div>
    <w:div w:id="126362395">
      <w:bodyDiv w:val="1"/>
      <w:marLeft w:val="0"/>
      <w:marRight w:val="0"/>
      <w:marTop w:val="0"/>
      <w:marBottom w:val="0"/>
      <w:divBdr>
        <w:top w:val="none" w:sz="0" w:space="0" w:color="auto"/>
        <w:left w:val="none" w:sz="0" w:space="0" w:color="auto"/>
        <w:bottom w:val="none" w:sz="0" w:space="0" w:color="auto"/>
        <w:right w:val="none" w:sz="0" w:space="0" w:color="auto"/>
      </w:divBdr>
    </w:div>
    <w:div w:id="149372283">
      <w:bodyDiv w:val="1"/>
      <w:marLeft w:val="0"/>
      <w:marRight w:val="0"/>
      <w:marTop w:val="0"/>
      <w:marBottom w:val="0"/>
      <w:divBdr>
        <w:top w:val="none" w:sz="0" w:space="0" w:color="auto"/>
        <w:left w:val="none" w:sz="0" w:space="0" w:color="auto"/>
        <w:bottom w:val="none" w:sz="0" w:space="0" w:color="auto"/>
        <w:right w:val="none" w:sz="0" w:space="0" w:color="auto"/>
      </w:divBdr>
    </w:div>
    <w:div w:id="204682175">
      <w:bodyDiv w:val="1"/>
      <w:marLeft w:val="0"/>
      <w:marRight w:val="0"/>
      <w:marTop w:val="0"/>
      <w:marBottom w:val="0"/>
      <w:divBdr>
        <w:top w:val="none" w:sz="0" w:space="0" w:color="auto"/>
        <w:left w:val="none" w:sz="0" w:space="0" w:color="auto"/>
        <w:bottom w:val="none" w:sz="0" w:space="0" w:color="auto"/>
        <w:right w:val="none" w:sz="0" w:space="0" w:color="auto"/>
      </w:divBdr>
    </w:div>
    <w:div w:id="241763766">
      <w:bodyDiv w:val="1"/>
      <w:marLeft w:val="0"/>
      <w:marRight w:val="0"/>
      <w:marTop w:val="0"/>
      <w:marBottom w:val="0"/>
      <w:divBdr>
        <w:top w:val="none" w:sz="0" w:space="0" w:color="auto"/>
        <w:left w:val="none" w:sz="0" w:space="0" w:color="auto"/>
        <w:bottom w:val="none" w:sz="0" w:space="0" w:color="auto"/>
        <w:right w:val="none" w:sz="0" w:space="0" w:color="auto"/>
      </w:divBdr>
    </w:div>
    <w:div w:id="264966909">
      <w:bodyDiv w:val="1"/>
      <w:marLeft w:val="0"/>
      <w:marRight w:val="0"/>
      <w:marTop w:val="0"/>
      <w:marBottom w:val="0"/>
      <w:divBdr>
        <w:top w:val="none" w:sz="0" w:space="0" w:color="auto"/>
        <w:left w:val="none" w:sz="0" w:space="0" w:color="auto"/>
        <w:bottom w:val="none" w:sz="0" w:space="0" w:color="auto"/>
        <w:right w:val="none" w:sz="0" w:space="0" w:color="auto"/>
      </w:divBdr>
    </w:div>
    <w:div w:id="297994686">
      <w:bodyDiv w:val="1"/>
      <w:marLeft w:val="0"/>
      <w:marRight w:val="0"/>
      <w:marTop w:val="0"/>
      <w:marBottom w:val="0"/>
      <w:divBdr>
        <w:top w:val="none" w:sz="0" w:space="0" w:color="auto"/>
        <w:left w:val="none" w:sz="0" w:space="0" w:color="auto"/>
        <w:bottom w:val="none" w:sz="0" w:space="0" w:color="auto"/>
        <w:right w:val="none" w:sz="0" w:space="0" w:color="auto"/>
      </w:divBdr>
    </w:div>
    <w:div w:id="511144467">
      <w:bodyDiv w:val="1"/>
      <w:marLeft w:val="0"/>
      <w:marRight w:val="0"/>
      <w:marTop w:val="0"/>
      <w:marBottom w:val="0"/>
      <w:divBdr>
        <w:top w:val="none" w:sz="0" w:space="0" w:color="auto"/>
        <w:left w:val="none" w:sz="0" w:space="0" w:color="auto"/>
        <w:bottom w:val="none" w:sz="0" w:space="0" w:color="auto"/>
        <w:right w:val="none" w:sz="0" w:space="0" w:color="auto"/>
      </w:divBdr>
    </w:div>
    <w:div w:id="553273039">
      <w:bodyDiv w:val="1"/>
      <w:marLeft w:val="0"/>
      <w:marRight w:val="0"/>
      <w:marTop w:val="0"/>
      <w:marBottom w:val="0"/>
      <w:divBdr>
        <w:top w:val="none" w:sz="0" w:space="0" w:color="auto"/>
        <w:left w:val="none" w:sz="0" w:space="0" w:color="auto"/>
        <w:bottom w:val="none" w:sz="0" w:space="0" w:color="auto"/>
        <w:right w:val="none" w:sz="0" w:space="0" w:color="auto"/>
      </w:divBdr>
    </w:div>
    <w:div w:id="573786250">
      <w:bodyDiv w:val="1"/>
      <w:marLeft w:val="0"/>
      <w:marRight w:val="0"/>
      <w:marTop w:val="0"/>
      <w:marBottom w:val="0"/>
      <w:divBdr>
        <w:top w:val="none" w:sz="0" w:space="0" w:color="auto"/>
        <w:left w:val="none" w:sz="0" w:space="0" w:color="auto"/>
        <w:bottom w:val="none" w:sz="0" w:space="0" w:color="auto"/>
        <w:right w:val="none" w:sz="0" w:space="0" w:color="auto"/>
      </w:divBdr>
    </w:div>
    <w:div w:id="584539195">
      <w:bodyDiv w:val="1"/>
      <w:marLeft w:val="0"/>
      <w:marRight w:val="0"/>
      <w:marTop w:val="0"/>
      <w:marBottom w:val="0"/>
      <w:divBdr>
        <w:top w:val="none" w:sz="0" w:space="0" w:color="auto"/>
        <w:left w:val="none" w:sz="0" w:space="0" w:color="auto"/>
        <w:bottom w:val="none" w:sz="0" w:space="0" w:color="auto"/>
        <w:right w:val="none" w:sz="0" w:space="0" w:color="auto"/>
      </w:divBdr>
    </w:div>
    <w:div w:id="602684592">
      <w:bodyDiv w:val="1"/>
      <w:marLeft w:val="0"/>
      <w:marRight w:val="0"/>
      <w:marTop w:val="0"/>
      <w:marBottom w:val="0"/>
      <w:divBdr>
        <w:top w:val="none" w:sz="0" w:space="0" w:color="auto"/>
        <w:left w:val="none" w:sz="0" w:space="0" w:color="auto"/>
        <w:bottom w:val="none" w:sz="0" w:space="0" w:color="auto"/>
        <w:right w:val="none" w:sz="0" w:space="0" w:color="auto"/>
      </w:divBdr>
    </w:div>
    <w:div w:id="650212545">
      <w:bodyDiv w:val="1"/>
      <w:marLeft w:val="0"/>
      <w:marRight w:val="0"/>
      <w:marTop w:val="0"/>
      <w:marBottom w:val="0"/>
      <w:divBdr>
        <w:top w:val="none" w:sz="0" w:space="0" w:color="auto"/>
        <w:left w:val="none" w:sz="0" w:space="0" w:color="auto"/>
        <w:bottom w:val="none" w:sz="0" w:space="0" w:color="auto"/>
        <w:right w:val="none" w:sz="0" w:space="0" w:color="auto"/>
      </w:divBdr>
    </w:div>
    <w:div w:id="714235367">
      <w:bodyDiv w:val="1"/>
      <w:marLeft w:val="0"/>
      <w:marRight w:val="0"/>
      <w:marTop w:val="0"/>
      <w:marBottom w:val="0"/>
      <w:divBdr>
        <w:top w:val="none" w:sz="0" w:space="0" w:color="auto"/>
        <w:left w:val="none" w:sz="0" w:space="0" w:color="auto"/>
        <w:bottom w:val="none" w:sz="0" w:space="0" w:color="auto"/>
        <w:right w:val="none" w:sz="0" w:space="0" w:color="auto"/>
      </w:divBdr>
    </w:div>
    <w:div w:id="744303950">
      <w:bodyDiv w:val="1"/>
      <w:marLeft w:val="0"/>
      <w:marRight w:val="0"/>
      <w:marTop w:val="0"/>
      <w:marBottom w:val="0"/>
      <w:divBdr>
        <w:top w:val="none" w:sz="0" w:space="0" w:color="auto"/>
        <w:left w:val="none" w:sz="0" w:space="0" w:color="auto"/>
        <w:bottom w:val="none" w:sz="0" w:space="0" w:color="auto"/>
        <w:right w:val="none" w:sz="0" w:space="0" w:color="auto"/>
      </w:divBdr>
    </w:div>
    <w:div w:id="748505540">
      <w:bodyDiv w:val="1"/>
      <w:marLeft w:val="0"/>
      <w:marRight w:val="0"/>
      <w:marTop w:val="0"/>
      <w:marBottom w:val="0"/>
      <w:divBdr>
        <w:top w:val="none" w:sz="0" w:space="0" w:color="auto"/>
        <w:left w:val="none" w:sz="0" w:space="0" w:color="auto"/>
        <w:bottom w:val="none" w:sz="0" w:space="0" w:color="auto"/>
        <w:right w:val="none" w:sz="0" w:space="0" w:color="auto"/>
      </w:divBdr>
    </w:div>
    <w:div w:id="782847124">
      <w:bodyDiv w:val="1"/>
      <w:marLeft w:val="0"/>
      <w:marRight w:val="0"/>
      <w:marTop w:val="0"/>
      <w:marBottom w:val="0"/>
      <w:divBdr>
        <w:top w:val="none" w:sz="0" w:space="0" w:color="auto"/>
        <w:left w:val="none" w:sz="0" w:space="0" w:color="auto"/>
        <w:bottom w:val="none" w:sz="0" w:space="0" w:color="auto"/>
        <w:right w:val="none" w:sz="0" w:space="0" w:color="auto"/>
      </w:divBdr>
    </w:div>
    <w:div w:id="946078965">
      <w:bodyDiv w:val="1"/>
      <w:marLeft w:val="0"/>
      <w:marRight w:val="0"/>
      <w:marTop w:val="0"/>
      <w:marBottom w:val="0"/>
      <w:divBdr>
        <w:top w:val="none" w:sz="0" w:space="0" w:color="auto"/>
        <w:left w:val="none" w:sz="0" w:space="0" w:color="auto"/>
        <w:bottom w:val="none" w:sz="0" w:space="0" w:color="auto"/>
        <w:right w:val="none" w:sz="0" w:space="0" w:color="auto"/>
      </w:divBdr>
    </w:div>
    <w:div w:id="980429335">
      <w:bodyDiv w:val="1"/>
      <w:marLeft w:val="0"/>
      <w:marRight w:val="0"/>
      <w:marTop w:val="0"/>
      <w:marBottom w:val="0"/>
      <w:divBdr>
        <w:top w:val="none" w:sz="0" w:space="0" w:color="auto"/>
        <w:left w:val="none" w:sz="0" w:space="0" w:color="auto"/>
        <w:bottom w:val="none" w:sz="0" w:space="0" w:color="auto"/>
        <w:right w:val="none" w:sz="0" w:space="0" w:color="auto"/>
      </w:divBdr>
    </w:div>
    <w:div w:id="1196431173">
      <w:bodyDiv w:val="1"/>
      <w:marLeft w:val="0"/>
      <w:marRight w:val="0"/>
      <w:marTop w:val="0"/>
      <w:marBottom w:val="0"/>
      <w:divBdr>
        <w:top w:val="none" w:sz="0" w:space="0" w:color="auto"/>
        <w:left w:val="none" w:sz="0" w:space="0" w:color="auto"/>
        <w:bottom w:val="none" w:sz="0" w:space="0" w:color="auto"/>
        <w:right w:val="none" w:sz="0" w:space="0" w:color="auto"/>
      </w:divBdr>
    </w:div>
    <w:div w:id="1202981862">
      <w:bodyDiv w:val="1"/>
      <w:marLeft w:val="0"/>
      <w:marRight w:val="0"/>
      <w:marTop w:val="0"/>
      <w:marBottom w:val="0"/>
      <w:divBdr>
        <w:top w:val="none" w:sz="0" w:space="0" w:color="auto"/>
        <w:left w:val="none" w:sz="0" w:space="0" w:color="auto"/>
        <w:bottom w:val="none" w:sz="0" w:space="0" w:color="auto"/>
        <w:right w:val="none" w:sz="0" w:space="0" w:color="auto"/>
      </w:divBdr>
    </w:div>
    <w:div w:id="1229727876">
      <w:bodyDiv w:val="1"/>
      <w:marLeft w:val="0"/>
      <w:marRight w:val="0"/>
      <w:marTop w:val="0"/>
      <w:marBottom w:val="0"/>
      <w:divBdr>
        <w:top w:val="none" w:sz="0" w:space="0" w:color="auto"/>
        <w:left w:val="none" w:sz="0" w:space="0" w:color="auto"/>
        <w:bottom w:val="none" w:sz="0" w:space="0" w:color="auto"/>
        <w:right w:val="none" w:sz="0" w:space="0" w:color="auto"/>
      </w:divBdr>
    </w:div>
    <w:div w:id="1235702677">
      <w:bodyDiv w:val="1"/>
      <w:marLeft w:val="0"/>
      <w:marRight w:val="0"/>
      <w:marTop w:val="0"/>
      <w:marBottom w:val="0"/>
      <w:divBdr>
        <w:top w:val="none" w:sz="0" w:space="0" w:color="auto"/>
        <w:left w:val="none" w:sz="0" w:space="0" w:color="auto"/>
        <w:bottom w:val="none" w:sz="0" w:space="0" w:color="auto"/>
        <w:right w:val="none" w:sz="0" w:space="0" w:color="auto"/>
      </w:divBdr>
    </w:div>
    <w:div w:id="1380402602">
      <w:bodyDiv w:val="1"/>
      <w:marLeft w:val="0"/>
      <w:marRight w:val="0"/>
      <w:marTop w:val="0"/>
      <w:marBottom w:val="0"/>
      <w:divBdr>
        <w:top w:val="none" w:sz="0" w:space="0" w:color="auto"/>
        <w:left w:val="none" w:sz="0" w:space="0" w:color="auto"/>
        <w:bottom w:val="none" w:sz="0" w:space="0" w:color="auto"/>
        <w:right w:val="none" w:sz="0" w:space="0" w:color="auto"/>
      </w:divBdr>
    </w:div>
    <w:div w:id="1393193462">
      <w:bodyDiv w:val="1"/>
      <w:marLeft w:val="0"/>
      <w:marRight w:val="0"/>
      <w:marTop w:val="0"/>
      <w:marBottom w:val="0"/>
      <w:divBdr>
        <w:top w:val="none" w:sz="0" w:space="0" w:color="auto"/>
        <w:left w:val="none" w:sz="0" w:space="0" w:color="auto"/>
        <w:bottom w:val="none" w:sz="0" w:space="0" w:color="auto"/>
        <w:right w:val="none" w:sz="0" w:space="0" w:color="auto"/>
      </w:divBdr>
    </w:div>
    <w:div w:id="1419060632">
      <w:bodyDiv w:val="1"/>
      <w:marLeft w:val="0"/>
      <w:marRight w:val="0"/>
      <w:marTop w:val="0"/>
      <w:marBottom w:val="0"/>
      <w:divBdr>
        <w:top w:val="none" w:sz="0" w:space="0" w:color="auto"/>
        <w:left w:val="none" w:sz="0" w:space="0" w:color="auto"/>
        <w:bottom w:val="none" w:sz="0" w:space="0" w:color="auto"/>
        <w:right w:val="none" w:sz="0" w:space="0" w:color="auto"/>
      </w:divBdr>
    </w:div>
    <w:div w:id="1422022520">
      <w:bodyDiv w:val="1"/>
      <w:marLeft w:val="0"/>
      <w:marRight w:val="0"/>
      <w:marTop w:val="0"/>
      <w:marBottom w:val="0"/>
      <w:divBdr>
        <w:top w:val="none" w:sz="0" w:space="0" w:color="auto"/>
        <w:left w:val="none" w:sz="0" w:space="0" w:color="auto"/>
        <w:bottom w:val="none" w:sz="0" w:space="0" w:color="auto"/>
        <w:right w:val="none" w:sz="0" w:space="0" w:color="auto"/>
      </w:divBdr>
    </w:div>
    <w:div w:id="1575311453">
      <w:bodyDiv w:val="1"/>
      <w:marLeft w:val="0"/>
      <w:marRight w:val="0"/>
      <w:marTop w:val="0"/>
      <w:marBottom w:val="0"/>
      <w:divBdr>
        <w:top w:val="none" w:sz="0" w:space="0" w:color="auto"/>
        <w:left w:val="none" w:sz="0" w:space="0" w:color="auto"/>
        <w:bottom w:val="none" w:sz="0" w:space="0" w:color="auto"/>
        <w:right w:val="none" w:sz="0" w:space="0" w:color="auto"/>
      </w:divBdr>
    </w:div>
    <w:div w:id="1592472903">
      <w:bodyDiv w:val="1"/>
      <w:marLeft w:val="0"/>
      <w:marRight w:val="0"/>
      <w:marTop w:val="0"/>
      <w:marBottom w:val="0"/>
      <w:divBdr>
        <w:top w:val="none" w:sz="0" w:space="0" w:color="auto"/>
        <w:left w:val="none" w:sz="0" w:space="0" w:color="auto"/>
        <w:bottom w:val="none" w:sz="0" w:space="0" w:color="auto"/>
        <w:right w:val="none" w:sz="0" w:space="0" w:color="auto"/>
      </w:divBdr>
    </w:div>
    <w:div w:id="1600943607">
      <w:bodyDiv w:val="1"/>
      <w:marLeft w:val="0"/>
      <w:marRight w:val="0"/>
      <w:marTop w:val="0"/>
      <w:marBottom w:val="0"/>
      <w:divBdr>
        <w:top w:val="none" w:sz="0" w:space="0" w:color="auto"/>
        <w:left w:val="none" w:sz="0" w:space="0" w:color="auto"/>
        <w:bottom w:val="none" w:sz="0" w:space="0" w:color="auto"/>
        <w:right w:val="none" w:sz="0" w:space="0" w:color="auto"/>
      </w:divBdr>
    </w:div>
    <w:div w:id="1632520940">
      <w:bodyDiv w:val="1"/>
      <w:marLeft w:val="0"/>
      <w:marRight w:val="0"/>
      <w:marTop w:val="0"/>
      <w:marBottom w:val="0"/>
      <w:divBdr>
        <w:top w:val="none" w:sz="0" w:space="0" w:color="auto"/>
        <w:left w:val="none" w:sz="0" w:space="0" w:color="auto"/>
        <w:bottom w:val="none" w:sz="0" w:space="0" w:color="auto"/>
        <w:right w:val="none" w:sz="0" w:space="0" w:color="auto"/>
      </w:divBdr>
    </w:div>
    <w:div w:id="1635215513">
      <w:bodyDiv w:val="1"/>
      <w:marLeft w:val="0"/>
      <w:marRight w:val="0"/>
      <w:marTop w:val="0"/>
      <w:marBottom w:val="0"/>
      <w:divBdr>
        <w:top w:val="none" w:sz="0" w:space="0" w:color="auto"/>
        <w:left w:val="none" w:sz="0" w:space="0" w:color="auto"/>
        <w:bottom w:val="none" w:sz="0" w:space="0" w:color="auto"/>
        <w:right w:val="none" w:sz="0" w:space="0" w:color="auto"/>
      </w:divBdr>
    </w:div>
    <w:div w:id="1684432547">
      <w:bodyDiv w:val="1"/>
      <w:marLeft w:val="0"/>
      <w:marRight w:val="0"/>
      <w:marTop w:val="0"/>
      <w:marBottom w:val="0"/>
      <w:divBdr>
        <w:top w:val="none" w:sz="0" w:space="0" w:color="auto"/>
        <w:left w:val="none" w:sz="0" w:space="0" w:color="auto"/>
        <w:bottom w:val="none" w:sz="0" w:space="0" w:color="auto"/>
        <w:right w:val="none" w:sz="0" w:space="0" w:color="auto"/>
      </w:divBdr>
    </w:div>
    <w:div w:id="1816558300">
      <w:bodyDiv w:val="1"/>
      <w:marLeft w:val="0"/>
      <w:marRight w:val="0"/>
      <w:marTop w:val="0"/>
      <w:marBottom w:val="0"/>
      <w:divBdr>
        <w:top w:val="none" w:sz="0" w:space="0" w:color="auto"/>
        <w:left w:val="none" w:sz="0" w:space="0" w:color="auto"/>
        <w:bottom w:val="none" w:sz="0" w:space="0" w:color="auto"/>
        <w:right w:val="none" w:sz="0" w:space="0" w:color="auto"/>
      </w:divBdr>
    </w:div>
    <w:div w:id="1915357444">
      <w:bodyDiv w:val="1"/>
      <w:marLeft w:val="0"/>
      <w:marRight w:val="0"/>
      <w:marTop w:val="0"/>
      <w:marBottom w:val="0"/>
      <w:divBdr>
        <w:top w:val="none" w:sz="0" w:space="0" w:color="auto"/>
        <w:left w:val="none" w:sz="0" w:space="0" w:color="auto"/>
        <w:bottom w:val="none" w:sz="0" w:space="0" w:color="auto"/>
        <w:right w:val="none" w:sz="0" w:space="0" w:color="auto"/>
      </w:divBdr>
    </w:div>
    <w:div w:id="1920483007">
      <w:bodyDiv w:val="1"/>
      <w:marLeft w:val="0"/>
      <w:marRight w:val="0"/>
      <w:marTop w:val="0"/>
      <w:marBottom w:val="0"/>
      <w:divBdr>
        <w:top w:val="none" w:sz="0" w:space="0" w:color="auto"/>
        <w:left w:val="none" w:sz="0" w:space="0" w:color="auto"/>
        <w:bottom w:val="none" w:sz="0" w:space="0" w:color="auto"/>
        <w:right w:val="none" w:sz="0" w:space="0" w:color="auto"/>
      </w:divBdr>
    </w:div>
    <w:div w:id="1925188128">
      <w:bodyDiv w:val="1"/>
      <w:marLeft w:val="0"/>
      <w:marRight w:val="0"/>
      <w:marTop w:val="0"/>
      <w:marBottom w:val="0"/>
      <w:divBdr>
        <w:top w:val="none" w:sz="0" w:space="0" w:color="auto"/>
        <w:left w:val="none" w:sz="0" w:space="0" w:color="auto"/>
        <w:bottom w:val="none" w:sz="0" w:space="0" w:color="auto"/>
        <w:right w:val="none" w:sz="0" w:space="0" w:color="auto"/>
      </w:divBdr>
    </w:div>
    <w:div w:id="2008441376">
      <w:bodyDiv w:val="1"/>
      <w:marLeft w:val="0"/>
      <w:marRight w:val="0"/>
      <w:marTop w:val="0"/>
      <w:marBottom w:val="0"/>
      <w:divBdr>
        <w:top w:val="none" w:sz="0" w:space="0" w:color="auto"/>
        <w:left w:val="none" w:sz="0" w:space="0" w:color="auto"/>
        <w:bottom w:val="none" w:sz="0" w:space="0" w:color="auto"/>
        <w:right w:val="none" w:sz="0" w:space="0" w:color="auto"/>
      </w:divBdr>
    </w:div>
    <w:div w:id="2071489631">
      <w:bodyDiv w:val="1"/>
      <w:marLeft w:val="0"/>
      <w:marRight w:val="0"/>
      <w:marTop w:val="0"/>
      <w:marBottom w:val="0"/>
      <w:divBdr>
        <w:top w:val="none" w:sz="0" w:space="0" w:color="auto"/>
        <w:left w:val="none" w:sz="0" w:space="0" w:color="auto"/>
        <w:bottom w:val="none" w:sz="0" w:space="0" w:color="auto"/>
        <w:right w:val="none" w:sz="0" w:space="0" w:color="auto"/>
      </w:divBdr>
    </w:div>
    <w:div w:id="2074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ane.gov.co/" TargetMode="External"/><Relationship Id="rId18" Type="http://schemas.openxmlformats.org/officeDocument/2006/relationships/hyperlink" Target="https://suameca.banrep.gov.co/graficador-series/" TargetMode="External"/><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hyperlink" Target="https://www.larepublica.co/economia/ingreso-diario-para-un-trabajador-que-gane-el-salario-minimo-en-2024-sera-de-48-719-3774482" TargetMode="External"/><Relationship Id="rId34" Type="http://schemas.openxmlformats.org/officeDocument/2006/relationships/hyperlink" Target="https://www.colombiacompra.gov.co/"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hyperlink" Target="https://www.mintrabajo.gov.co/"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larepublica.co/economia/ingreso-diario-para-un-trabajador-que-gane-el-salario-minimo-en-2026-sera-de-48-719-3774482" TargetMode="External"/><Relationship Id="rId29" Type="http://schemas.openxmlformats.org/officeDocument/2006/relationships/hyperlink" Target="https://siis.ia.supersociedades.gov.c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hyperlink" Target="https://confecamaras.org.co/"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yperlink" Target="https://www.funcionpublica.gov.co/eva/gestornormativo/norma.php?i=209510" TargetMode="Externa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hyperlink" Target="http://www.dane.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hyperlink" Target="https://dolar.wilkinsonpc.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E8CF0404C7E734C9259D8EF42700260" ma:contentTypeVersion="18" ma:contentTypeDescription="Crear nuevo documento." ma:contentTypeScope="" ma:versionID="dc9cbb1e3980bcc7b6261386b81f8fbc">
  <xsd:schema xmlns:xsd="http://www.w3.org/2001/XMLSchema" xmlns:xs="http://www.w3.org/2001/XMLSchema" xmlns:p="http://schemas.microsoft.com/office/2006/metadata/properties" xmlns:ns2="fe45b2a6-9a12-4fcf-b570-17bb01fd08c5" xmlns:ns3="8a9288c7-6b0e-403c-8f0a-cd20d2ab2a47" targetNamespace="http://schemas.microsoft.com/office/2006/metadata/properties" ma:root="true" ma:fieldsID="cdd511153ddfb96c278e081d22f5c3e1" ns2:_="" ns3:_="">
    <xsd:import namespace="fe45b2a6-9a12-4fcf-b570-17bb01fd08c5"/>
    <xsd:import namespace="8a9288c7-6b0e-403c-8f0a-cd20d2ab2a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5b2a6-9a12-4fcf-b570-17bb01fd08c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3a67a11-fa74-4b55-91b8-e96fe8490a8c}" ma:internalName="TaxCatchAll" ma:showField="CatchAllData" ma:web="fe45b2a6-9a12-4fcf-b570-17bb01fd08c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9288c7-6b0e-403c-8f0a-cd20d2ab2a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7177639-5b3b-41ea-846e-d21bebb5f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CDD53-8AEF-4802-BCF9-9B57B066AE07}">
  <ds:schemaRefs>
    <ds:schemaRef ds:uri="http://schemas.microsoft.com/sharepoint/v3/contenttype/forms"/>
  </ds:schemaRefs>
</ds:datastoreItem>
</file>

<file path=customXml/itemProps2.xml><?xml version="1.0" encoding="utf-8"?>
<ds:datastoreItem xmlns:ds="http://schemas.openxmlformats.org/officeDocument/2006/customXml" ds:itemID="{69BD182E-4443-4D3C-BA5D-FCE15229D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5b2a6-9a12-4fcf-b570-17bb01fd08c5"/>
    <ds:schemaRef ds:uri="8a9288c7-6b0e-403c-8f0a-cd20d2ab2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79F318-FA5A-4531-AF9D-C071BE8FE20A}">
  <ds:schemaRefs>
    <ds:schemaRef ds:uri="http://schemas.openxmlformats.org/officeDocument/2006/bibliography"/>
  </ds:schemaRefs>
</ds:datastoreItem>
</file>

<file path=docMetadata/LabelInfo.xml><?xml version="1.0" encoding="utf-8"?>
<clbl:labelList xmlns:clbl="http://schemas.microsoft.com/office/2020/mipLabelMetadata">
  <clbl:label id="{ae525757-89ba-4d30-a2f7-49796ef8c604}" enabled="0" method="" siteId="{ae525757-89ba-4d30-a2f7-49796ef8c604}" removed="1"/>
</clbl:labelList>
</file>

<file path=docProps/app.xml><?xml version="1.0" encoding="utf-8"?>
<Properties xmlns="http://schemas.openxmlformats.org/officeDocument/2006/extended-properties" xmlns:vt="http://schemas.openxmlformats.org/officeDocument/2006/docPropsVTypes">
  <Template>Normal</Template>
  <TotalTime>2</TotalTime>
  <Pages>49</Pages>
  <Words>13496</Words>
  <Characters>74228</Characters>
  <Application>Microsoft Office Word</Application>
  <DocSecurity>0</DocSecurity>
  <Lines>618</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87549</CharactersWithSpaces>
  <SharedDoc>false</SharedDoc>
  <HLinks>
    <vt:vector size="486" baseType="variant">
      <vt:variant>
        <vt:i4>1048607</vt:i4>
      </vt:variant>
      <vt:variant>
        <vt:i4>498</vt:i4>
      </vt:variant>
      <vt:variant>
        <vt:i4>0</vt:i4>
      </vt:variant>
      <vt:variant>
        <vt:i4>5</vt:i4>
      </vt:variant>
      <vt:variant>
        <vt:lpwstr>https://www.funcionpublica.gov.co/eva/gestornormativo/norma.php?i=209510</vt:lpwstr>
      </vt:variant>
      <vt:variant>
        <vt:lpwstr/>
      </vt:variant>
      <vt:variant>
        <vt:i4>4325467</vt:i4>
      </vt:variant>
      <vt:variant>
        <vt:i4>495</vt:i4>
      </vt:variant>
      <vt:variant>
        <vt:i4>0</vt:i4>
      </vt:variant>
      <vt:variant>
        <vt:i4>5</vt:i4>
      </vt:variant>
      <vt:variant>
        <vt:lpwstr>https://dolar.wilkinsonpc.com.co/</vt:lpwstr>
      </vt:variant>
      <vt:variant>
        <vt:lpwstr/>
      </vt:variant>
      <vt:variant>
        <vt:i4>6815799</vt:i4>
      </vt:variant>
      <vt:variant>
        <vt:i4>492</vt:i4>
      </vt:variant>
      <vt:variant>
        <vt:i4>0</vt:i4>
      </vt:variant>
      <vt:variant>
        <vt:i4>5</vt:i4>
      </vt:variant>
      <vt:variant>
        <vt:lpwstr>https://www.colombiacompra.gov.co/</vt:lpwstr>
      </vt:variant>
      <vt:variant>
        <vt:lpwstr/>
      </vt:variant>
      <vt:variant>
        <vt:i4>6750265</vt:i4>
      </vt:variant>
      <vt:variant>
        <vt:i4>489</vt:i4>
      </vt:variant>
      <vt:variant>
        <vt:i4>0</vt:i4>
      </vt:variant>
      <vt:variant>
        <vt:i4>5</vt:i4>
      </vt:variant>
      <vt:variant>
        <vt:lpwstr>https://www.mintrabajo.gov.co/</vt:lpwstr>
      </vt:variant>
      <vt:variant>
        <vt:lpwstr/>
      </vt:variant>
      <vt:variant>
        <vt:i4>5439572</vt:i4>
      </vt:variant>
      <vt:variant>
        <vt:i4>486</vt:i4>
      </vt:variant>
      <vt:variant>
        <vt:i4>0</vt:i4>
      </vt:variant>
      <vt:variant>
        <vt:i4>5</vt:i4>
      </vt:variant>
      <vt:variant>
        <vt:lpwstr>https://confecamaras.org.co/</vt:lpwstr>
      </vt:variant>
      <vt:variant>
        <vt:lpwstr/>
      </vt:variant>
      <vt:variant>
        <vt:i4>2162726</vt:i4>
      </vt:variant>
      <vt:variant>
        <vt:i4>483</vt:i4>
      </vt:variant>
      <vt:variant>
        <vt:i4>0</vt:i4>
      </vt:variant>
      <vt:variant>
        <vt:i4>5</vt:i4>
      </vt:variant>
      <vt:variant>
        <vt:lpwstr>http://www.dane.gov.co/</vt:lpwstr>
      </vt:variant>
      <vt:variant>
        <vt:lpwstr/>
      </vt:variant>
      <vt:variant>
        <vt:i4>1572888</vt:i4>
      </vt:variant>
      <vt:variant>
        <vt:i4>474</vt:i4>
      </vt:variant>
      <vt:variant>
        <vt:i4>0</vt:i4>
      </vt:variant>
      <vt:variant>
        <vt:i4>5</vt:i4>
      </vt:variant>
      <vt:variant>
        <vt:lpwstr>https://www.colombiacompra.gov.co/content/visualizaciones-compra-publica</vt:lpwstr>
      </vt:variant>
      <vt:variant>
        <vt:lpwstr/>
      </vt:variant>
      <vt:variant>
        <vt:i4>1572888</vt:i4>
      </vt:variant>
      <vt:variant>
        <vt:i4>468</vt:i4>
      </vt:variant>
      <vt:variant>
        <vt:i4>0</vt:i4>
      </vt:variant>
      <vt:variant>
        <vt:i4>5</vt:i4>
      </vt:variant>
      <vt:variant>
        <vt:lpwstr>https://www.colombiacompra.gov.co/content/visualizaciones-compra-publica</vt:lpwstr>
      </vt:variant>
      <vt:variant>
        <vt:lpwstr/>
      </vt:variant>
      <vt:variant>
        <vt:i4>1572888</vt:i4>
      </vt:variant>
      <vt:variant>
        <vt:i4>459</vt:i4>
      </vt:variant>
      <vt:variant>
        <vt:i4>0</vt:i4>
      </vt:variant>
      <vt:variant>
        <vt:i4>5</vt:i4>
      </vt:variant>
      <vt:variant>
        <vt:lpwstr>https://www.colombiacompra.gov.co/content/visualizaciones-compra-publica</vt:lpwstr>
      </vt:variant>
      <vt:variant>
        <vt:lpwstr/>
      </vt:variant>
      <vt:variant>
        <vt:i4>1572888</vt:i4>
      </vt:variant>
      <vt:variant>
        <vt:i4>453</vt:i4>
      </vt:variant>
      <vt:variant>
        <vt:i4>0</vt:i4>
      </vt:variant>
      <vt:variant>
        <vt:i4>5</vt:i4>
      </vt:variant>
      <vt:variant>
        <vt:lpwstr>https://www.colombiacompra.gov.co/content/visualizaciones-compra-publica</vt:lpwstr>
      </vt:variant>
      <vt:variant>
        <vt:lpwstr/>
      </vt:variant>
      <vt:variant>
        <vt:i4>1572888</vt:i4>
      </vt:variant>
      <vt:variant>
        <vt:i4>447</vt:i4>
      </vt:variant>
      <vt:variant>
        <vt:i4>0</vt:i4>
      </vt:variant>
      <vt:variant>
        <vt:i4>5</vt:i4>
      </vt:variant>
      <vt:variant>
        <vt:lpwstr>https://www.colombiacompra.gov.co/content/visualizaciones-compra-publica</vt:lpwstr>
      </vt:variant>
      <vt:variant>
        <vt:lpwstr/>
      </vt:variant>
      <vt:variant>
        <vt:i4>1572888</vt:i4>
      </vt:variant>
      <vt:variant>
        <vt:i4>438</vt:i4>
      </vt:variant>
      <vt:variant>
        <vt:i4>0</vt:i4>
      </vt:variant>
      <vt:variant>
        <vt:i4>5</vt:i4>
      </vt:variant>
      <vt:variant>
        <vt:lpwstr>https://www.colombiacompra.gov.co/content/visualizaciones-compra-publica</vt:lpwstr>
      </vt:variant>
      <vt:variant>
        <vt:lpwstr/>
      </vt:variant>
      <vt:variant>
        <vt:i4>1572888</vt:i4>
      </vt:variant>
      <vt:variant>
        <vt:i4>429</vt:i4>
      </vt:variant>
      <vt:variant>
        <vt:i4>0</vt:i4>
      </vt:variant>
      <vt:variant>
        <vt:i4>5</vt:i4>
      </vt:variant>
      <vt:variant>
        <vt:lpwstr>https://www.colombiacompra.gov.co/content/visualizaciones-compra-publica</vt:lpwstr>
      </vt:variant>
      <vt:variant>
        <vt:lpwstr/>
      </vt:variant>
      <vt:variant>
        <vt:i4>3342427</vt:i4>
      </vt:variant>
      <vt:variant>
        <vt:i4>423</vt:i4>
      </vt:variant>
      <vt:variant>
        <vt:i4>0</vt:i4>
      </vt:variant>
      <vt:variant>
        <vt:i4>5</vt:i4>
      </vt:variant>
      <vt:variant>
        <vt:lpwstr>https://www.datos.gov.co/Gastos-Gubernamentales/SECOP-II-Contratos-Electr-nicos/jbjy-vk9h/about_data</vt:lpwstr>
      </vt:variant>
      <vt:variant>
        <vt:lpwstr/>
      </vt:variant>
      <vt:variant>
        <vt:i4>7340141</vt:i4>
      </vt:variant>
      <vt:variant>
        <vt:i4>411</vt:i4>
      </vt:variant>
      <vt:variant>
        <vt:i4>0</vt:i4>
      </vt:variant>
      <vt:variant>
        <vt:i4>5</vt:i4>
      </vt:variant>
      <vt:variant>
        <vt:lpwstr>https://www.larepublica.co/economia/ingreso-diario-para-un-trabajador-que-gane-el-salario-minimo-en-2024-sera-de-48-719-3774482</vt:lpwstr>
      </vt:variant>
      <vt:variant>
        <vt:lpwstr/>
      </vt:variant>
      <vt:variant>
        <vt:i4>7340141</vt:i4>
      </vt:variant>
      <vt:variant>
        <vt:i4>405</vt:i4>
      </vt:variant>
      <vt:variant>
        <vt:i4>0</vt:i4>
      </vt:variant>
      <vt:variant>
        <vt:i4>5</vt:i4>
      </vt:variant>
      <vt:variant>
        <vt:lpwstr>https://www.larepublica.co/economia/ingreso-diario-para-un-trabajador-que-gane-el-salario-minimo-en-2024-sera-de-48-719-3774482</vt:lpwstr>
      </vt:variant>
      <vt:variant>
        <vt:lpwstr/>
      </vt:variant>
      <vt:variant>
        <vt:i4>7340141</vt:i4>
      </vt:variant>
      <vt:variant>
        <vt:i4>399</vt:i4>
      </vt:variant>
      <vt:variant>
        <vt:i4>0</vt:i4>
      </vt:variant>
      <vt:variant>
        <vt:i4>5</vt:i4>
      </vt:variant>
      <vt:variant>
        <vt:lpwstr>https://www.larepublica.co/economia/ingreso-diario-para-un-trabajador-que-gane-el-salario-minimo-en-2024-sera-de-48-719-3774482</vt:lpwstr>
      </vt:variant>
      <vt:variant>
        <vt:lpwstr/>
      </vt:variant>
      <vt:variant>
        <vt:i4>8323160</vt:i4>
      </vt:variant>
      <vt:variant>
        <vt:i4>393</vt:i4>
      </vt:variant>
      <vt:variant>
        <vt:i4>0</vt:i4>
      </vt:variant>
      <vt:variant>
        <vt:i4>5</vt:i4>
      </vt:variant>
      <vt:variant>
        <vt:lpwstr>https://www.datos.gov.co/Econom-a-y-Finanzas/Tasa-de-Cambio-Representativa-del-Mercado-Historic/mcec-87by/about_data</vt:lpwstr>
      </vt:variant>
      <vt:variant>
        <vt:lpwstr/>
      </vt:variant>
      <vt:variant>
        <vt:i4>2162726</vt:i4>
      </vt:variant>
      <vt:variant>
        <vt:i4>372</vt:i4>
      </vt:variant>
      <vt:variant>
        <vt:i4>0</vt:i4>
      </vt:variant>
      <vt:variant>
        <vt:i4>5</vt:i4>
      </vt:variant>
      <vt:variant>
        <vt:lpwstr>http://www.dane.gov.co/</vt:lpwstr>
      </vt:variant>
      <vt:variant>
        <vt:lpwstr/>
      </vt:variant>
      <vt:variant>
        <vt:i4>2162726</vt:i4>
      </vt:variant>
      <vt:variant>
        <vt:i4>366</vt:i4>
      </vt:variant>
      <vt:variant>
        <vt:i4>0</vt:i4>
      </vt:variant>
      <vt:variant>
        <vt:i4>5</vt:i4>
      </vt:variant>
      <vt:variant>
        <vt:lpwstr>http://www.dane.gov.co/</vt:lpwstr>
      </vt:variant>
      <vt:variant>
        <vt:lpwstr/>
      </vt:variant>
      <vt:variant>
        <vt:i4>2162726</vt:i4>
      </vt:variant>
      <vt:variant>
        <vt:i4>360</vt:i4>
      </vt:variant>
      <vt:variant>
        <vt:i4>0</vt:i4>
      </vt:variant>
      <vt:variant>
        <vt:i4>5</vt:i4>
      </vt:variant>
      <vt:variant>
        <vt:lpwstr>http://www.dane.gov.co/</vt:lpwstr>
      </vt:variant>
      <vt:variant>
        <vt:lpwstr/>
      </vt:variant>
      <vt:variant>
        <vt:i4>1376311</vt:i4>
      </vt:variant>
      <vt:variant>
        <vt:i4>347</vt:i4>
      </vt:variant>
      <vt:variant>
        <vt:i4>0</vt:i4>
      </vt:variant>
      <vt:variant>
        <vt:i4>5</vt:i4>
      </vt:variant>
      <vt:variant>
        <vt:lpwstr/>
      </vt:variant>
      <vt:variant>
        <vt:lpwstr>_Toc179360961</vt:lpwstr>
      </vt:variant>
      <vt:variant>
        <vt:i4>1376311</vt:i4>
      </vt:variant>
      <vt:variant>
        <vt:i4>341</vt:i4>
      </vt:variant>
      <vt:variant>
        <vt:i4>0</vt:i4>
      </vt:variant>
      <vt:variant>
        <vt:i4>5</vt:i4>
      </vt:variant>
      <vt:variant>
        <vt:lpwstr/>
      </vt:variant>
      <vt:variant>
        <vt:lpwstr>_Toc179360960</vt:lpwstr>
      </vt:variant>
      <vt:variant>
        <vt:i4>1441847</vt:i4>
      </vt:variant>
      <vt:variant>
        <vt:i4>335</vt:i4>
      </vt:variant>
      <vt:variant>
        <vt:i4>0</vt:i4>
      </vt:variant>
      <vt:variant>
        <vt:i4>5</vt:i4>
      </vt:variant>
      <vt:variant>
        <vt:lpwstr/>
      </vt:variant>
      <vt:variant>
        <vt:lpwstr>_Toc179360959</vt:lpwstr>
      </vt:variant>
      <vt:variant>
        <vt:i4>1507388</vt:i4>
      </vt:variant>
      <vt:variant>
        <vt:i4>326</vt:i4>
      </vt:variant>
      <vt:variant>
        <vt:i4>0</vt:i4>
      </vt:variant>
      <vt:variant>
        <vt:i4>5</vt:i4>
      </vt:variant>
      <vt:variant>
        <vt:lpwstr/>
      </vt:variant>
      <vt:variant>
        <vt:lpwstr>_Toc182478844</vt:lpwstr>
      </vt:variant>
      <vt:variant>
        <vt:i4>1507388</vt:i4>
      </vt:variant>
      <vt:variant>
        <vt:i4>320</vt:i4>
      </vt:variant>
      <vt:variant>
        <vt:i4>0</vt:i4>
      </vt:variant>
      <vt:variant>
        <vt:i4>5</vt:i4>
      </vt:variant>
      <vt:variant>
        <vt:lpwstr/>
      </vt:variant>
      <vt:variant>
        <vt:lpwstr>_Toc182478843</vt:lpwstr>
      </vt:variant>
      <vt:variant>
        <vt:i4>1507388</vt:i4>
      </vt:variant>
      <vt:variant>
        <vt:i4>314</vt:i4>
      </vt:variant>
      <vt:variant>
        <vt:i4>0</vt:i4>
      </vt:variant>
      <vt:variant>
        <vt:i4>5</vt:i4>
      </vt:variant>
      <vt:variant>
        <vt:lpwstr/>
      </vt:variant>
      <vt:variant>
        <vt:lpwstr>_Toc182478842</vt:lpwstr>
      </vt:variant>
      <vt:variant>
        <vt:i4>1507388</vt:i4>
      </vt:variant>
      <vt:variant>
        <vt:i4>308</vt:i4>
      </vt:variant>
      <vt:variant>
        <vt:i4>0</vt:i4>
      </vt:variant>
      <vt:variant>
        <vt:i4>5</vt:i4>
      </vt:variant>
      <vt:variant>
        <vt:lpwstr/>
      </vt:variant>
      <vt:variant>
        <vt:lpwstr>_Toc182478841</vt:lpwstr>
      </vt:variant>
      <vt:variant>
        <vt:i4>1507388</vt:i4>
      </vt:variant>
      <vt:variant>
        <vt:i4>302</vt:i4>
      </vt:variant>
      <vt:variant>
        <vt:i4>0</vt:i4>
      </vt:variant>
      <vt:variant>
        <vt:i4>5</vt:i4>
      </vt:variant>
      <vt:variant>
        <vt:lpwstr/>
      </vt:variant>
      <vt:variant>
        <vt:lpwstr>_Toc182478840</vt:lpwstr>
      </vt:variant>
      <vt:variant>
        <vt:i4>1048636</vt:i4>
      </vt:variant>
      <vt:variant>
        <vt:i4>296</vt:i4>
      </vt:variant>
      <vt:variant>
        <vt:i4>0</vt:i4>
      </vt:variant>
      <vt:variant>
        <vt:i4>5</vt:i4>
      </vt:variant>
      <vt:variant>
        <vt:lpwstr/>
      </vt:variant>
      <vt:variant>
        <vt:lpwstr>_Toc182478839</vt:lpwstr>
      </vt:variant>
      <vt:variant>
        <vt:i4>1048636</vt:i4>
      </vt:variant>
      <vt:variant>
        <vt:i4>290</vt:i4>
      </vt:variant>
      <vt:variant>
        <vt:i4>0</vt:i4>
      </vt:variant>
      <vt:variant>
        <vt:i4>5</vt:i4>
      </vt:variant>
      <vt:variant>
        <vt:lpwstr/>
      </vt:variant>
      <vt:variant>
        <vt:lpwstr>_Toc182478838</vt:lpwstr>
      </vt:variant>
      <vt:variant>
        <vt:i4>1048636</vt:i4>
      </vt:variant>
      <vt:variant>
        <vt:i4>284</vt:i4>
      </vt:variant>
      <vt:variant>
        <vt:i4>0</vt:i4>
      </vt:variant>
      <vt:variant>
        <vt:i4>5</vt:i4>
      </vt:variant>
      <vt:variant>
        <vt:lpwstr/>
      </vt:variant>
      <vt:variant>
        <vt:lpwstr>_Toc182478837</vt:lpwstr>
      </vt:variant>
      <vt:variant>
        <vt:i4>1441852</vt:i4>
      </vt:variant>
      <vt:variant>
        <vt:i4>275</vt:i4>
      </vt:variant>
      <vt:variant>
        <vt:i4>0</vt:i4>
      </vt:variant>
      <vt:variant>
        <vt:i4>5</vt:i4>
      </vt:variant>
      <vt:variant>
        <vt:lpwstr/>
      </vt:variant>
      <vt:variant>
        <vt:lpwstr>_Toc182478856</vt:lpwstr>
      </vt:variant>
      <vt:variant>
        <vt:i4>1441852</vt:i4>
      </vt:variant>
      <vt:variant>
        <vt:i4>269</vt:i4>
      </vt:variant>
      <vt:variant>
        <vt:i4>0</vt:i4>
      </vt:variant>
      <vt:variant>
        <vt:i4>5</vt:i4>
      </vt:variant>
      <vt:variant>
        <vt:lpwstr/>
      </vt:variant>
      <vt:variant>
        <vt:lpwstr>_Toc182478855</vt:lpwstr>
      </vt:variant>
      <vt:variant>
        <vt:i4>1441852</vt:i4>
      </vt:variant>
      <vt:variant>
        <vt:i4>263</vt:i4>
      </vt:variant>
      <vt:variant>
        <vt:i4>0</vt:i4>
      </vt:variant>
      <vt:variant>
        <vt:i4>5</vt:i4>
      </vt:variant>
      <vt:variant>
        <vt:lpwstr/>
      </vt:variant>
      <vt:variant>
        <vt:lpwstr>_Toc182478854</vt:lpwstr>
      </vt:variant>
      <vt:variant>
        <vt:i4>1441852</vt:i4>
      </vt:variant>
      <vt:variant>
        <vt:i4>257</vt:i4>
      </vt:variant>
      <vt:variant>
        <vt:i4>0</vt:i4>
      </vt:variant>
      <vt:variant>
        <vt:i4>5</vt:i4>
      </vt:variant>
      <vt:variant>
        <vt:lpwstr/>
      </vt:variant>
      <vt:variant>
        <vt:lpwstr>_Toc182478853</vt:lpwstr>
      </vt:variant>
      <vt:variant>
        <vt:i4>1441852</vt:i4>
      </vt:variant>
      <vt:variant>
        <vt:i4>251</vt:i4>
      </vt:variant>
      <vt:variant>
        <vt:i4>0</vt:i4>
      </vt:variant>
      <vt:variant>
        <vt:i4>5</vt:i4>
      </vt:variant>
      <vt:variant>
        <vt:lpwstr/>
      </vt:variant>
      <vt:variant>
        <vt:lpwstr>_Toc182478852</vt:lpwstr>
      </vt:variant>
      <vt:variant>
        <vt:i4>1441852</vt:i4>
      </vt:variant>
      <vt:variant>
        <vt:i4>245</vt:i4>
      </vt:variant>
      <vt:variant>
        <vt:i4>0</vt:i4>
      </vt:variant>
      <vt:variant>
        <vt:i4>5</vt:i4>
      </vt:variant>
      <vt:variant>
        <vt:lpwstr/>
      </vt:variant>
      <vt:variant>
        <vt:lpwstr>_Toc182478851</vt:lpwstr>
      </vt:variant>
      <vt:variant>
        <vt:i4>1441852</vt:i4>
      </vt:variant>
      <vt:variant>
        <vt:i4>239</vt:i4>
      </vt:variant>
      <vt:variant>
        <vt:i4>0</vt:i4>
      </vt:variant>
      <vt:variant>
        <vt:i4>5</vt:i4>
      </vt:variant>
      <vt:variant>
        <vt:lpwstr/>
      </vt:variant>
      <vt:variant>
        <vt:lpwstr>_Toc182478850</vt:lpwstr>
      </vt:variant>
      <vt:variant>
        <vt:i4>1507388</vt:i4>
      </vt:variant>
      <vt:variant>
        <vt:i4>233</vt:i4>
      </vt:variant>
      <vt:variant>
        <vt:i4>0</vt:i4>
      </vt:variant>
      <vt:variant>
        <vt:i4>5</vt:i4>
      </vt:variant>
      <vt:variant>
        <vt:lpwstr/>
      </vt:variant>
      <vt:variant>
        <vt:lpwstr>_Toc182478849</vt:lpwstr>
      </vt:variant>
      <vt:variant>
        <vt:i4>1507388</vt:i4>
      </vt:variant>
      <vt:variant>
        <vt:i4>227</vt:i4>
      </vt:variant>
      <vt:variant>
        <vt:i4>0</vt:i4>
      </vt:variant>
      <vt:variant>
        <vt:i4>5</vt:i4>
      </vt:variant>
      <vt:variant>
        <vt:lpwstr/>
      </vt:variant>
      <vt:variant>
        <vt:lpwstr>_Toc182478848</vt:lpwstr>
      </vt:variant>
      <vt:variant>
        <vt:i4>1507388</vt:i4>
      </vt:variant>
      <vt:variant>
        <vt:i4>221</vt:i4>
      </vt:variant>
      <vt:variant>
        <vt:i4>0</vt:i4>
      </vt:variant>
      <vt:variant>
        <vt:i4>5</vt:i4>
      </vt:variant>
      <vt:variant>
        <vt:lpwstr/>
      </vt:variant>
      <vt:variant>
        <vt:lpwstr>_Toc182478847</vt:lpwstr>
      </vt:variant>
      <vt:variant>
        <vt:i4>1507388</vt:i4>
      </vt:variant>
      <vt:variant>
        <vt:i4>215</vt:i4>
      </vt:variant>
      <vt:variant>
        <vt:i4>0</vt:i4>
      </vt:variant>
      <vt:variant>
        <vt:i4>5</vt:i4>
      </vt:variant>
      <vt:variant>
        <vt:lpwstr/>
      </vt:variant>
      <vt:variant>
        <vt:lpwstr>_Toc182478846</vt:lpwstr>
      </vt:variant>
      <vt:variant>
        <vt:i4>1507388</vt:i4>
      </vt:variant>
      <vt:variant>
        <vt:i4>209</vt:i4>
      </vt:variant>
      <vt:variant>
        <vt:i4>0</vt:i4>
      </vt:variant>
      <vt:variant>
        <vt:i4>5</vt:i4>
      </vt:variant>
      <vt:variant>
        <vt:lpwstr/>
      </vt:variant>
      <vt:variant>
        <vt:lpwstr>_Toc182478845</vt:lpwstr>
      </vt:variant>
      <vt:variant>
        <vt:i4>1703996</vt:i4>
      </vt:variant>
      <vt:variant>
        <vt:i4>200</vt:i4>
      </vt:variant>
      <vt:variant>
        <vt:i4>0</vt:i4>
      </vt:variant>
      <vt:variant>
        <vt:i4>5</vt:i4>
      </vt:variant>
      <vt:variant>
        <vt:lpwstr/>
      </vt:variant>
      <vt:variant>
        <vt:lpwstr>_Toc182478890</vt:lpwstr>
      </vt:variant>
      <vt:variant>
        <vt:i4>1769532</vt:i4>
      </vt:variant>
      <vt:variant>
        <vt:i4>194</vt:i4>
      </vt:variant>
      <vt:variant>
        <vt:i4>0</vt:i4>
      </vt:variant>
      <vt:variant>
        <vt:i4>5</vt:i4>
      </vt:variant>
      <vt:variant>
        <vt:lpwstr/>
      </vt:variant>
      <vt:variant>
        <vt:lpwstr>_Toc182478889</vt:lpwstr>
      </vt:variant>
      <vt:variant>
        <vt:i4>1769532</vt:i4>
      </vt:variant>
      <vt:variant>
        <vt:i4>188</vt:i4>
      </vt:variant>
      <vt:variant>
        <vt:i4>0</vt:i4>
      </vt:variant>
      <vt:variant>
        <vt:i4>5</vt:i4>
      </vt:variant>
      <vt:variant>
        <vt:lpwstr/>
      </vt:variant>
      <vt:variant>
        <vt:lpwstr>_Toc182478888</vt:lpwstr>
      </vt:variant>
      <vt:variant>
        <vt:i4>1769532</vt:i4>
      </vt:variant>
      <vt:variant>
        <vt:i4>182</vt:i4>
      </vt:variant>
      <vt:variant>
        <vt:i4>0</vt:i4>
      </vt:variant>
      <vt:variant>
        <vt:i4>5</vt:i4>
      </vt:variant>
      <vt:variant>
        <vt:lpwstr/>
      </vt:variant>
      <vt:variant>
        <vt:lpwstr>_Toc182478887</vt:lpwstr>
      </vt:variant>
      <vt:variant>
        <vt:i4>1769532</vt:i4>
      </vt:variant>
      <vt:variant>
        <vt:i4>176</vt:i4>
      </vt:variant>
      <vt:variant>
        <vt:i4>0</vt:i4>
      </vt:variant>
      <vt:variant>
        <vt:i4>5</vt:i4>
      </vt:variant>
      <vt:variant>
        <vt:lpwstr/>
      </vt:variant>
      <vt:variant>
        <vt:lpwstr>_Toc182478886</vt:lpwstr>
      </vt:variant>
      <vt:variant>
        <vt:i4>1769532</vt:i4>
      </vt:variant>
      <vt:variant>
        <vt:i4>170</vt:i4>
      </vt:variant>
      <vt:variant>
        <vt:i4>0</vt:i4>
      </vt:variant>
      <vt:variant>
        <vt:i4>5</vt:i4>
      </vt:variant>
      <vt:variant>
        <vt:lpwstr/>
      </vt:variant>
      <vt:variant>
        <vt:lpwstr>_Toc182478885</vt:lpwstr>
      </vt:variant>
      <vt:variant>
        <vt:i4>1769532</vt:i4>
      </vt:variant>
      <vt:variant>
        <vt:i4>164</vt:i4>
      </vt:variant>
      <vt:variant>
        <vt:i4>0</vt:i4>
      </vt:variant>
      <vt:variant>
        <vt:i4>5</vt:i4>
      </vt:variant>
      <vt:variant>
        <vt:lpwstr/>
      </vt:variant>
      <vt:variant>
        <vt:lpwstr>_Toc182478884</vt:lpwstr>
      </vt:variant>
      <vt:variant>
        <vt:i4>1769532</vt:i4>
      </vt:variant>
      <vt:variant>
        <vt:i4>158</vt:i4>
      </vt:variant>
      <vt:variant>
        <vt:i4>0</vt:i4>
      </vt:variant>
      <vt:variant>
        <vt:i4>5</vt:i4>
      </vt:variant>
      <vt:variant>
        <vt:lpwstr/>
      </vt:variant>
      <vt:variant>
        <vt:lpwstr>_Toc182478883</vt:lpwstr>
      </vt:variant>
      <vt:variant>
        <vt:i4>1769532</vt:i4>
      </vt:variant>
      <vt:variant>
        <vt:i4>152</vt:i4>
      </vt:variant>
      <vt:variant>
        <vt:i4>0</vt:i4>
      </vt:variant>
      <vt:variant>
        <vt:i4>5</vt:i4>
      </vt:variant>
      <vt:variant>
        <vt:lpwstr/>
      </vt:variant>
      <vt:variant>
        <vt:lpwstr>_Toc182478882</vt:lpwstr>
      </vt:variant>
      <vt:variant>
        <vt:i4>1769532</vt:i4>
      </vt:variant>
      <vt:variant>
        <vt:i4>146</vt:i4>
      </vt:variant>
      <vt:variant>
        <vt:i4>0</vt:i4>
      </vt:variant>
      <vt:variant>
        <vt:i4>5</vt:i4>
      </vt:variant>
      <vt:variant>
        <vt:lpwstr/>
      </vt:variant>
      <vt:variant>
        <vt:lpwstr>_Toc182478881</vt:lpwstr>
      </vt:variant>
      <vt:variant>
        <vt:i4>1769532</vt:i4>
      </vt:variant>
      <vt:variant>
        <vt:i4>140</vt:i4>
      </vt:variant>
      <vt:variant>
        <vt:i4>0</vt:i4>
      </vt:variant>
      <vt:variant>
        <vt:i4>5</vt:i4>
      </vt:variant>
      <vt:variant>
        <vt:lpwstr/>
      </vt:variant>
      <vt:variant>
        <vt:lpwstr>_Toc182478880</vt:lpwstr>
      </vt:variant>
      <vt:variant>
        <vt:i4>1310780</vt:i4>
      </vt:variant>
      <vt:variant>
        <vt:i4>134</vt:i4>
      </vt:variant>
      <vt:variant>
        <vt:i4>0</vt:i4>
      </vt:variant>
      <vt:variant>
        <vt:i4>5</vt:i4>
      </vt:variant>
      <vt:variant>
        <vt:lpwstr/>
      </vt:variant>
      <vt:variant>
        <vt:lpwstr>_Toc182478879</vt:lpwstr>
      </vt:variant>
      <vt:variant>
        <vt:i4>1310780</vt:i4>
      </vt:variant>
      <vt:variant>
        <vt:i4>128</vt:i4>
      </vt:variant>
      <vt:variant>
        <vt:i4>0</vt:i4>
      </vt:variant>
      <vt:variant>
        <vt:i4>5</vt:i4>
      </vt:variant>
      <vt:variant>
        <vt:lpwstr/>
      </vt:variant>
      <vt:variant>
        <vt:lpwstr>_Toc182478878</vt:lpwstr>
      </vt:variant>
      <vt:variant>
        <vt:i4>1310780</vt:i4>
      </vt:variant>
      <vt:variant>
        <vt:i4>122</vt:i4>
      </vt:variant>
      <vt:variant>
        <vt:i4>0</vt:i4>
      </vt:variant>
      <vt:variant>
        <vt:i4>5</vt:i4>
      </vt:variant>
      <vt:variant>
        <vt:lpwstr/>
      </vt:variant>
      <vt:variant>
        <vt:lpwstr>_Toc182478877</vt:lpwstr>
      </vt:variant>
      <vt:variant>
        <vt:i4>1310780</vt:i4>
      </vt:variant>
      <vt:variant>
        <vt:i4>116</vt:i4>
      </vt:variant>
      <vt:variant>
        <vt:i4>0</vt:i4>
      </vt:variant>
      <vt:variant>
        <vt:i4>5</vt:i4>
      </vt:variant>
      <vt:variant>
        <vt:lpwstr/>
      </vt:variant>
      <vt:variant>
        <vt:lpwstr>_Toc182478876</vt:lpwstr>
      </vt:variant>
      <vt:variant>
        <vt:i4>1310780</vt:i4>
      </vt:variant>
      <vt:variant>
        <vt:i4>110</vt:i4>
      </vt:variant>
      <vt:variant>
        <vt:i4>0</vt:i4>
      </vt:variant>
      <vt:variant>
        <vt:i4>5</vt:i4>
      </vt:variant>
      <vt:variant>
        <vt:lpwstr/>
      </vt:variant>
      <vt:variant>
        <vt:lpwstr>_Toc182478875</vt:lpwstr>
      </vt:variant>
      <vt:variant>
        <vt:i4>1310780</vt:i4>
      </vt:variant>
      <vt:variant>
        <vt:i4>104</vt:i4>
      </vt:variant>
      <vt:variant>
        <vt:i4>0</vt:i4>
      </vt:variant>
      <vt:variant>
        <vt:i4>5</vt:i4>
      </vt:variant>
      <vt:variant>
        <vt:lpwstr/>
      </vt:variant>
      <vt:variant>
        <vt:lpwstr>_Toc182478874</vt:lpwstr>
      </vt:variant>
      <vt:variant>
        <vt:i4>1310780</vt:i4>
      </vt:variant>
      <vt:variant>
        <vt:i4>98</vt:i4>
      </vt:variant>
      <vt:variant>
        <vt:i4>0</vt:i4>
      </vt:variant>
      <vt:variant>
        <vt:i4>5</vt:i4>
      </vt:variant>
      <vt:variant>
        <vt:lpwstr/>
      </vt:variant>
      <vt:variant>
        <vt:lpwstr>_Toc182478873</vt:lpwstr>
      </vt:variant>
      <vt:variant>
        <vt:i4>1310780</vt:i4>
      </vt:variant>
      <vt:variant>
        <vt:i4>92</vt:i4>
      </vt:variant>
      <vt:variant>
        <vt:i4>0</vt:i4>
      </vt:variant>
      <vt:variant>
        <vt:i4>5</vt:i4>
      </vt:variant>
      <vt:variant>
        <vt:lpwstr/>
      </vt:variant>
      <vt:variant>
        <vt:lpwstr>_Toc182478872</vt:lpwstr>
      </vt:variant>
      <vt:variant>
        <vt:i4>1310780</vt:i4>
      </vt:variant>
      <vt:variant>
        <vt:i4>86</vt:i4>
      </vt:variant>
      <vt:variant>
        <vt:i4>0</vt:i4>
      </vt:variant>
      <vt:variant>
        <vt:i4>5</vt:i4>
      </vt:variant>
      <vt:variant>
        <vt:lpwstr/>
      </vt:variant>
      <vt:variant>
        <vt:lpwstr>_Toc182478871</vt:lpwstr>
      </vt:variant>
      <vt:variant>
        <vt:i4>1310780</vt:i4>
      </vt:variant>
      <vt:variant>
        <vt:i4>80</vt:i4>
      </vt:variant>
      <vt:variant>
        <vt:i4>0</vt:i4>
      </vt:variant>
      <vt:variant>
        <vt:i4>5</vt:i4>
      </vt:variant>
      <vt:variant>
        <vt:lpwstr/>
      </vt:variant>
      <vt:variant>
        <vt:lpwstr>_Toc182478870</vt:lpwstr>
      </vt:variant>
      <vt:variant>
        <vt:i4>1376316</vt:i4>
      </vt:variant>
      <vt:variant>
        <vt:i4>74</vt:i4>
      </vt:variant>
      <vt:variant>
        <vt:i4>0</vt:i4>
      </vt:variant>
      <vt:variant>
        <vt:i4>5</vt:i4>
      </vt:variant>
      <vt:variant>
        <vt:lpwstr/>
      </vt:variant>
      <vt:variant>
        <vt:lpwstr>_Toc182478869</vt:lpwstr>
      </vt:variant>
      <vt:variant>
        <vt:i4>1376316</vt:i4>
      </vt:variant>
      <vt:variant>
        <vt:i4>68</vt:i4>
      </vt:variant>
      <vt:variant>
        <vt:i4>0</vt:i4>
      </vt:variant>
      <vt:variant>
        <vt:i4>5</vt:i4>
      </vt:variant>
      <vt:variant>
        <vt:lpwstr/>
      </vt:variant>
      <vt:variant>
        <vt:lpwstr>_Toc182478868</vt:lpwstr>
      </vt:variant>
      <vt:variant>
        <vt:i4>1376316</vt:i4>
      </vt:variant>
      <vt:variant>
        <vt:i4>62</vt:i4>
      </vt:variant>
      <vt:variant>
        <vt:i4>0</vt:i4>
      </vt:variant>
      <vt:variant>
        <vt:i4>5</vt:i4>
      </vt:variant>
      <vt:variant>
        <vt:lpwstr/>
      </vt:variant>
      <vt:variant>
        <vt:lpwstr>_Toc182478867</vt:lpwstr>
      </vt:variant>
      <vt:variant>
        <vt:i4>1376316</vt:i4>
      </vt:variant>
      <vt:variant>
        <vt:i4>56</vt:i4>
      </vt:variant>
      <vt:variant>
        <vt:i4>0</vt:i4>
      </vt:variant>
      <vt:variant>
        <vt:i4>5</vt:i4>
      </vt:variant>
      <vt:variant>
        <vt:lpwstr/>
      </vt:variant>
      <vt:variant>
        <vt:lpwstr>_Toc182478866</vt:lpwstr>
      </vt:variant>
      <vt:variant>
        <vt:i4>1376316</vt:i4>
      </vt:variant>
      <vt:variant>
        <vt:i4>50</vt:i4>
      </vt:variant>
      <vt:variant>
        <vt:i4>0</vt:i4>
      </vt:variant>
      <vt:variant>
        <vt:i4>5</vt:i4>
      </vt:variant>
      <vt:variant>
        <vt:lpwstr/>
      </vt:variant>
      <vt:variant>
        <vt:lpwstr>_Toc182478865</vt:lpwstr>
      </vt:variant>
      <vt:variant>
        <vt:i4>1376316</vt:i4>
      </vt:variant>
      <vt:variant>
        <vt:i4>44</vt:i4>
      </vt:variant>
      <vt:variant>
        <vt:i4>0</vt:i4>
      </vt:variant>
      <vt:variant>
        <vt:i4>5</vt:i4>
      </vt:variant>
      <vt:variant>
        <vt:lpwstr/>
      </vt:variant>
      <vt:variant>
        <vt:lpwstr>_Toc182478864</vt:lpwstr>
      </vt:variant>
      <vt:variant>
        <vt:i4>1376316</vt:i4>
      </vt:variant>
      <vt:variant>
        <vt:i4>38</vt:i4>
      </vt:variant>
      <vt:variant>
        <vt:i4>0</vt:i4>
      </vt:variant>
      <vt:variant>
        <vt:i4>5</vt:i4>
      </vt:variant>
      <vt:variant>
        <vt:lpwstr/>
      </vt:variant>
      <vt:variant>
        <vt:lpwstr>_Toc182478863</vt:lpwstr>
      </vt:variant>
      <vt:variant>
        <vt:i4>1376316</vt:i4>
      </vt:variant>
      <vt:variant>
        <vt:i4>32</vt:i4>
      </vt:variant>
      <vt:variant>
        <vt:i4>0</vt:i4>
      </vt:variant>
      <vt:variant>
        <vt:i4>5</vt:i4>
      </vt:variant>
      <vt:variant>
        <vt:lpwstr/>
      </vt:variant>
      <vt:variant>
        <vt:lpwstr>_Toc182478862</vt:lpwstr>
      </vt:variant>
      <vt:variant>
        <vt:i4>1376316</vt:i4>
      </vt:variant>
      <vt:variant>
        <vt:i4>26</vt:i4>
      </vt:variant>
      <vt:variant>
        <vt:i4>0</vt:i4>
      </vt:variant>
      <vt:variant>
        <vt:i4>5</vt:i4>
      </vt:variant>
      <vt:variant>
        <vt:lpwstr/>
      </vt:variant>
      <vt:variant>
        <vt:lpwstr>_Toc182478861</vt:lpwstr>
      </vt:variant>
      <vt:variant>
        <vt:i4>1376316</vt:i4>
      </vt:variant>
      <vt:variant>
        <vt:i4>20</vt:i4>
      </vt:variant>
      <vt:variant>
        <vt:i4>0</vt:i4>
      </vt:variant>
      <vt:variant>
        <vt:i4>5</vt:i4>
      </vt:variant>
      <vt:variant>
        <vt:lpwstr/>
      </vt:variant>
      <vt:variant>
        <vt:lpwstr>_Toc182478860</vt:lpwstr>
      </vt:variant>
      <vt:variant>
        <vt:i4>1441852</vt:i4>
      </vt:variant>
      <vt:variant>
        <vt:i4>14</vt:i4>
      </vt:variant>
      <vt:variant>
        <vt:i4>0</vt:i4>
      </vt:variant>
      <vt:variant>
        <vt:i4>5</vt:i4>
      </vt:variant>
      <vt:variant>
        <vt:lpwstr/>
      </vt:variant>
      <vt:variant>
        <vt:lpwstr>_Toc182478859</vt:lpwstr>
      </vt:variant>
      <vt:variant>
        <vt:i4>1441852</vt:i4>
      </vt:variant>
      <vt:variant>
        <vt:i4>8</vt:i4>
      </vt:variant>
      <vt:variant>
        <vt:i4>0</vt:i4>
      </vt:variant>
      <vt:variant>
        <vt:i4>5</vt:i4>
      </vt:variant>
      <vt:variant>
        <vt:lpwstr/>
      </vt:variant>
      <vt:variant>
        <vt:lpwstr>_Toc182478858</vt:lpwstr>
      </vt:variant>
      <vt:variant>
        <vt:i4>1441852</vt:i4>
      </vt:variant>
      <vt:variant>
        <vt:i4>2</vt:i4>
      </vt:variant>
      <vt:variant>
        <vt:i4>0</vt:i4>
      </vt:variant>
      <vt:variant>
        <vt:i4>5</vt:i4>
      </vt:variant>
      <vt:variant>
        <vt:lpwstr/>
      </vt:variant>
      <vt:variant>
        <vt:lpwstr>_Toc182478857</vt:lpwstr>
      </vt:variant>
      <vt:variant>
        <vt:i4>6029391</vt:i4>
      </vt:variant>
      <vt:variant>
        <vt:i4>6</vt:i4>
      </vt:variant>
      <vt:variant>
        <vt:i4>0</vt:i4>
      </vt:variant>
      <vt:variant>
        <vt:i4>5</vt:i4>
      </vt:variant>
      <vt:variant>
        <vt:lpwstr>https://www.dane.gov.co/index.php</vt:lpwstr>
      </vt:variant>
      <vt:variant>
        <vt:lpwstr/>
      </vt:variant>
      <vt:variant>
        <vt:i4>5373966</vt:i4>
      </vt:variant>
      <vt:variant>
        <vt:i4>3</vt:i4>
      </vt:variant>
      <vt:variant>
        <vt:i4>0</vt:i4>
      </vt:variant>
      <vt:variant>
        <vt:i4>5</vt:i4>
      </vt:variant>
      <vt:variant>
        <vt:lpwstr>https://www.colombiacompra.gov.co/clasificador-de-bienes-y-servicios</vt:lpwstr>
      </vt:variant>
      <vt:variant>
        <vt:lpwstr/>
      </vt:variant>
      <vt:variant>
        <vt:i4>4390927</vt:i4>
      </vt:variant>
      <vt:variant>
        <vt:i4>0</vt:i4>
      </vt:variant>
      <vt:variant>
        <vt:i4>0</vt:i4>
      </vt:variant>
      <vt:variant>
        <vt:i4>5</vt:i4>
      </vt:variant>
      <vt:variant>
        <vt:lpwstr>https://linea.ccb.org.co/descripcionciiu/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Nicolas Emanuel Frasser Cajamarca</cp:lastModifiedBy>
  <cp:revision>2</cp:revision>
  <cp:lastPrinted>2026-03-25T18:22:00Z</cp:lastPrinted>
  <dcterms:created xsi:type="dcterms:W3CDTF">2026-06-21T00:39:00Z</dcterms:created>
  <dcterms:modified xsi:type="dcterms:W3CDTF">2026-06-21T00:39:00Z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ies>
</file>